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700" w:lineRule="exact"/>
        <w:ind w:left="0" w:right="0"/>
        <w:jc w:val="both"/>
        <w:textAlignment w:val="auto"/>
        <w:rPr>
          <w:rFonts w:hint="eastAsia" w:ascii="仿宋_GB2312" w:hAnsi="仿宋_GB2312" w:eastAsia="仿宋_GB2312" w:cs="仿宋_GB2312"/>
          <w:b/>
          <w:color w:val="auto"/>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1000" w:lineRule="exact"/>
        <w:ind w:left="0" w:leftChars="0" w:firstLine="4215" w:firstLineChars="1312"/>
        <w:jc w:val="left"/>
        <w:textAlignment w:val="auto"/>
        <w:rPr>
          <w:rFonts w:eastAsia="楷体_GB2312"/>
        </w:rPr>
      </w:pPr>
      <w:r>
        <w:rPr>
          <w:rFonts w:hint="eastAsia" w:ascii="仿宋_GB2312" w:hAnsi="仿宋_GB2312" w:eastAsia="仿宋_GB2312" w:cs="仿宋_GB2312"/>
          <w:b/>
          <w:color w:val="auto"/>
          <w:kern w:val="0"/>
          <w:sz w:val="32"/>
          <w:szCs w:val="32"/>
          <w:shd w:val="clear" w:color="auto" w:fill="FFFFFF"/>
          <w:lang w:val="en-US" w:eastAsia="zh-CN" w:bidi="ar"/>
        </w:rPr>
        <w:drawing>
          <wp:anchor distT="0" distB="0" distL="114300" distR="114300" simplePos="0" relativeHeight="251776000" behindDoc="1" locked="0" layoutInCell="1" allowOverlap="1">
            <wp:simplePos x="0" y="0"/>
            <wp:positionH relativeFrom="column">
              <wp:posOffset>111125</wp:posOffset>
            </wp:positionH>
            <wp:positionV relativeFrom="paragraph">
              <wp:posOffset>101600</wp:posOffset>
            </wp:positionV>
            <wp:extent cx="2470785" cy="567055"/>
            <wp:effectExtent l="0" t="0" r="43815" b="42545"/>
            <wp:wrapThrough wrapText="bothSides">
              <wp:wrapPolygon>
                <wp:start x="0" y="0"/>
                <wp:lineTo x="0" y="21044"/>
                <wp:lineTo x="21483" y="21044"/>
                <wp:lineTo x="21483" y="0"/>
                <wp:lineTo x="0" y="0"/>
              </wp:wrapPolygon>
            </wp:wrapThrough>
            <wp:docPr id="1" name="图片 2" descr="黄冈师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黄冈师范logo"/>
                    <pic:cNvPicPr>
                      <a:picLocks noChangeAspect="1"/>
                    </pic:cNvPicPr>
                  </pic:nvPicPr>
                  <pic:blipFill>
                    <a:blip r:embed="rId5"/>
                    <a:stretch>
                      <a:fillRect/>
                    </a:stretch>
                  </pic:blipFill>
                  <pic:spPr>
                    <a:xfrm>
                      <a:off x="0" y="0"/>
                      <a:ext cx="2470785" cy="567055"/>
                    </a:xfrm>
                    <a:prstGeom prst="rect">
                      <a:avLst/>
                    </a:prstGeom>
                    <a:noFill/>
                    <a:ln>
                      <a:noFill/>
                    </a:ln>
                  </pic:spPr>
                </pic:pic>
              </a:graphicData>
            </a:graphic>
          </wp:anchor>
        </w:drawing>
      </w:r>
      <w:r>
        <w:rPr>
          <w:rFonts w:hint="eastAsia" w:ascii="华文行楷" w:hAnsi="华文行楷" w:eastAsia="华文行楷" w:cs="华文行楷"/>
          <w:b w:val="0"/>
          <w:bCs/>
          <w:color w:val="000000"/>
          <w:kern w:val="0"/>
          <w:sz w:val="72"/>
          <w:szCs w:val="72"/>
          <w:lang w:val="en-US" w:eastAsia="zh-CN" w:bidi="ar"/>
        </w:rPr>
        <w:t>商学院</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600" w:lineRule="exact"/>
        <w:ind w:left="0" w:right="0"/>
        <w:jc w:val="both"/>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rFonts w:hint="eastAsia" w:ascii="方正小标宋简体" w:hAnsi="方正小标宋简体" w:eastAsia="方正小标宋简体" w:cs="方正小标宋简体"/>
          <w:b/>
          <w:bCs w:val="0"/>
          <w:spacing w:val="0"/>
          <w:w w:val="91"/>
          <w:sz w:val="54"/>
          <w:szCs w:val="54"/>
        </w:rPr>
      </w:pPr>
      <w:r>
        <w:rPr>
          <w:rFonts w:hint="eastAsia" w:ascii="方正小标宋简体" w:hAnsi="方正小标宋简体" w:eastAsia="方正小标宋简体" w:cs="方正小标宋简体"/>
          <w:b/>
          <w:bCs w:val="0"/>
          <w:color w:val="000000"/>
          <w:spacing w:val="0"/>
          <w:w w:val="91"/>
          <w:kern w:val="0"/>
          <w:sz w:val="54"/>
          <w:szCs w:val="54"/>
          <w:lang w:val="en-US" w:eastAsia="zh-CN" w:bidi="ar"/>
        </w:rPr>
        <w:t>“不忘初心、牢记使命”主题教育读书班</w:t>
      </w:r>
    </w:p>
    <w:p>
      <w:pPr>
        <w:keepNext w:val="0"/>
        <w:keepLines w:val="0"/>
        <w:pageBreakBefore w:val="0"/>
        <w:widowControl/>
        <w:suppressLineNumbers w:val="0"/>
        <w:kinsoku/>
        <w:wordWrap/>
        <w:overflowPunct/>
        <w:topLinePunct w:val="0"/>
        <w:autoSpaceDE/>
        <w:autoSpaceDN/>
        <w:bidi w:val="0"/>
        <w:adjustRightInd/>
        <w:snapToGrid/>
        <w:spacing w:line="900" w:lineRule="exact"/>
        <w:ind w:firstLine="533" w:firstLineChars="100"/>
        <w:jc w:val="center"/>
        <w:textAlignment w:val="auto"/>
        <w:rPr>
          <w:rFonts w:hint="eastAsia" w:ascii="方正小标宋简体" w:hAnsi="方正小标宋简体" w:eastAsia="方正小标宋简体" w:cs="方正小标宋简体"/>
          <w:b/>
          <w:bCs w:val="0"/>
          <w:spacing w:val="20"/>
          <w:w w:val="91"/>
          <w:sz w:val="54"/>
          <w:szCs w:val="54"/>
        </w:rPr>
      </w:pPr>
      <w:r>
        <w:rPr>
          <w:rFonts w:hint="eastAsia" w:ascii="方正小标宋简体" w:hAnsi="方正小标宋简体" w:eastAsia="方正小标宋简体" w:cs="方正小标宋简体"/>
          <w:b/>
          <w:bCs w:val="0"/>
          <w:color w:val="000000"/>
          <w:spacing w:val="20"/>
          <w:w w:val="91"/>
          <w:kern w:val="0"/>
          <w:sz w:val="54"/>
          <w:szCs w:val="54"/>
          <w:lang w:val="en-US" w:eastAsia="zh-CN" w:bidi="ar"/>
        </w:rPr>
        <w:t>2019年10月“支部主题党日”活动</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00" w:lineRule="exact"/>
        <w:ind w:left="0" w:right="0"/>
        <w:jc w:val="center"/>
        <w:textAlignment w:val="auto"/>
        <w:outlineLvl w:val="9"/>
        <w:rPr>
          <w:rFonts w:hint="eastAsia" w:ascii="仿宋_GB2312" w:hAnsi="仿宋_GB2312" w:eastAsia="仿宋_GB2312" w:cs="仿宋_GB2312"/>
          <w:b/>
          <w:color w:val="auto"/>
          <w:w w:val="95"/>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sz w:val="90"/>
          <w:szCs w:val="90"/>
        </w:rPr>
      </w:pPr>
      <w:r>
        <w:rPr>
          <w:rFonts w:ascii="隶书" w:hAnsi="隶书" w:eastAsia="隶书" w:cs="隶书"/>
          <w:color w:val="000000"/>
          <w:kern w:val="0"/>
          <w:sz w:val="90"/>
          <w:szCs w:val="90"/>
          <w:lang w:val="en-US" w:eastAsia="zh-CN" w:bidi="ar"/>
        </w:rPr>
        <w:t>学</w:t>
      </w: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sz w:val="90"/>
          <w:szCs w:val="90"/>
        </w:rPr>
      </w:pPr>
      <w:r>
        <w:rPr>
          <w:rFonts w:ascii="隶书" w:hAnsi="隶书" w:eastAsia="隶书" w:cs="隶书"/>
          <w:color w:val="000000"/>
          <w:kern w:val="0"/>
          <w:sz w:val="90"/>
          <w:szCs w:val="90"/>
          <w:lang w:val="en-US" w:eastAsia="zh-CN" w:bidi="ar"/>
        </w:rPr>
        <w:t>习</w:t>
      </w: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sz w:val="90"/>
          <w:szCs w:val="90"/>
        </w:rPr>
      </w:pPr>
      <w:r>
        <w:rPr>
          <w:rFonts w:ascii="隶书" w:hAnsi="隶书" w:eastAsia="隶书" w:cs="隶书"/>
          <w:color w:val="000000"/>
          <w:kern w:val="0"/>
          <w:sz w:val="90"/>
          <w:szCs w:val="90"/>
          <w:lang w:val="en-US" w:eastAsia="zh-CN" w:bidi="ar"/>
        </w:rPr>
        <w:t>资</w:t>
      </w: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sz w:val="90"/>
          <w:szCs w:val="90"/>
        </w:rPr>
      </w:pPr>
      <w:r>
        <w:rPr>
          <w:rFonts w:ascii="隶书" w:hAnsi="隶书" w:eastAsia="隶书" w:cs="隶书"/>
          <w:color w:val="000000"/>
          <w:kern w:val="0"/>
          <w:sz w:val="90"/>
          <w:szCs w:val="90"/>
          <w:lang w:val="en-US" w:eastAsia="zh-CN" w:bidi="ar"/>
        </w:rPr>
        <w:t>料</w:t>
      </w: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sz w:val="90"/>
          <w:szCs w:val="90"/>
        </w:rPr>
      </w:pPr>
      <w:r>
        <w:rPr>
          <w:rFonts w:ascii="隶书" w:hAnsi="隶书" w:eastAsia="隶书" w:cs="隶书"/>
          <w:color w:val="000000"/>
          <w:kern w:val="0"/>
          <w:sz w:val="90"/>
          <w:szCs w:val="90"/>
          <w:lang w:val="en-US" w:eastAsia="zh-CN" w:bidi="ar"/>
        </w:rPr>
        <w:t>汇</w:t>
      </w: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sz w:val="90"/>
          <w:szCs w:val="90"/>
        </w:rPr>
      </w:pPr>
      <w:r>
        <w:rPr>
          <w:rFonts w:ascii="隶书" w:hAnsi="隶书" w:eastAsia="隶书" w:cs="隶书"/>
          <w:color w:val="000000"/>
          <w:kern w:val="0"/>
          <w:sz w:val="90"/>
          <w:szCs w:val="90"/>
          <w:lang w:val="en-US" w:eastAsia="zh-CN" w:bidi="ar"/>
        </w:rPr>
        <w:t>编</w:t>
      </w:r>
    </w:p>
    <w:p>
      <w:pPr>
        <w:keepNext w:val="0"/>
        <w:keepLines w:val="0"/>
        <w:widowControl/>
        <w:suppressLineNumbers w:val="0"/>
        <w:jc w:val="center"/>
        <w:rPr>
          <w:sz w:val="48"/>
          <w:szCs w:val="48"/>
        </w:rPr>
      </w:pPr>
      <w:r>
        <w:rPr>
          <w:rFonts w:ascii="隶书" w:hAnsi="隶书" w:eastAsia="隶书" w:cs="隶书"/>
          <w:color w:val="000000"/>
          <w:kern w:val="0"/>
          <w:sz w:val="50"/>
          <w:szCs w:val="50"/>
          <w:lang w:val="en-US" w:eastAsia="zh-CN" w:bidi="ar"/>
        </w:rPr>
        <w:t>（</w:t>
      </w:r>
      <w:bookmarkStart w:id="2" w:name="_GoBack"/>
      <w:r>
        <w:rPr>
          <w:rFonts w:hint="eastAsia" w:ascii="隶书" w:hAnsi="隶书" w:eastAsia="隶书" w:cs="隶书"/>
          <w:color w:val="000000"/>
          <w:kern w:val="0"/>
          <w:sz w:val="50"/>
          <w:szCs w:val="50"/>
          <w:lang w:val="en-US" w:eastAsia="zh-CN" w:bidi="ar"/>
        </w:rPr>
        <w:t>三</w:t>
      </w:r>
      <w:bookmarkEnd w:id="2"/>
      <w:r>
        <w:rPr>
          <w:rFonts w:ascii="隶书" w:hAnsi="隶书" w:eastAsia="隶书" w:cs="隶书"/>
          <w:color w:val="000000"/>
          <w:kern w:val="0"/>
          <w:sz w:val="50"/>
          <w:szCs w:val="50"/>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934" w:firstLineChars="300"/>
        <w:jc w:val="left"/>
        <w:textAlignment w:val="auto"/>
        <w:rPr>
          <w:rFonts w:ascii="楷体_GB2312" w:hAnsi="宋体" w:eastAsia="楷体_GB2312" w:cs="楷体_GB2312"/>
          <w:b/>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934" w:firstLineChars="300"/>
        <w:jc w:val="left"/>
        <w:textAlignment w:val="auto"/>
        <w:rPr>
          <w:rFonts w:ascii="楷体_GB2312" w:hAnsi="宋体" w:eastAsia="楷体_GB2312" w:cs="楷体_GB2312"/>
          <w:b/>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934" w:firstLineChars="300"/>
        <w:jc w:val="left"/>
        <w:textAlignment w:val="auto"/>
        <w:rPr>
          <w:rFonts w:ascii="楷体_GB2312" w:hAnsi="宋体" w:eastAsia="楷体_GB2312" w:cs="楷体_GB2312"/>
          <w:b/>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934" w:firstLineChars="300"/>
        <w:jc w:val="left"/>
        <w:textAlignment w:val="auto"/>
        <w:rPr>
          <w:rFonts w:ascii="楷体_GB2312" w:hAnsi="宋体" w:eastAsia="楷体_GB2312" w:cs="楷体_GB2312"/>
          <w:b/>
          <w:color w:val="000000"/>
          <w:kern w:val="0"/>
          <w:sz w:val="31"/>
          <w:szCs w:val="31"/>
          <w:lang w:val="en-US" w:eastAsia="zh-CN" w:bidi="ar"/>
        </w:rPr>
      </w:pPr>
    </w:p>
    <w:p>
      <w:pPr>
        <w:keepNext w:val="0"/>
        <w:keepLines w:val="0"/>
        <w:widowControl/>
        <w:suppressLineNumbers w:val="0"/>
        <w:ind w:firstLine="934" w:firstLineChars="300"/>
        <w:jc w:val="left"/>
        <w:rPr>
          <w:rFonts w:hint="eastAsia" w:ascii="仿宋_GB2312" w:hAnsi="仿宋_GB2312" w:eastAsia="仿宋_GB2312" w:cs="仿宋_GB2312"/>
          <w:b/>
          <w:color w:val="auto"/>
          <w:kern w:val="0"/>
          <w:sz w:val="32"/>
          <w:szCs w:val="32"/>
          <w:shd w:val="clear" w:color="auto" w:fill="FFFFFF"/>
          <w:lang w:val="en-US" w:eastAsia="zh-CN" w:bidi="ar"/>
        </w:rPr>
      </w:pPr>
      <w:r>
        <w:rPr>
          <w:rFonts w:ascii="楷体_GB2312" w:hAnsi="宋体" w:eastAsia="楷体_GB2312" w:cs="楷体_GB2312"/>
          <w:b/>
          <w:color w:val="000000"/>
          <w:kern w:val="0"/>
          <w:sz w:val="31"/>
          <w:szCs w:val="31"/>
          <w:lang w:val="en-US" w:eastAsia="zh-CN" w:bidi="ar"/>
        </w:rPr>
        <w:t>商学院“不忘初心、牢记使命”主题教育领导小组</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480" w:lineRule="exact"/>
        <w:ind w:left="0" w:right="0"/>
        <w:jc w:val="center"/>
        <w:textAlignment w:val="auto"/>
        <w:outlineLvl w:val="9"/>
        <w:rPr>
          <w:rFonts w:hint="eastAsia" w:ascii="楷体_GB2312" w:hAnsi="楷体_GB2312" w:eastAsia="楷体_GB2312" w:cs="楷体_GB2312"/>
          <w:b/>
          <w:bCs w:val="0"/>
          <w:color w:val="auto"/>
          <w:spacing w:val="20"/>
          <w:kern w:val="0"/>
          <w:sz w:val="36"/>
          <w:szCs w:val="36"/>
          <w:shd w:val="clear" w:color="auto" w:fill="FFFFFF"/>
          <w:lang w:val="en-US" w:eastAsia="zh-CN" w:bidi="ar"/>
        </w:rPr>
      </w:pPr>
      <w:r>
        <w:rPr>
          <w:rFonts w:hint="eastAsia" w:ascii="楷体_GB2312" w:hAnsi="楷体_GB2312" w:eastAsia="楷体_GB2312" w:cs="楷体_GB2312"/>
          <w:b/>
          <w:bCs w:val="0"/>
          <w:color w:val="auto"/>
          <w:spacing w:val="20"/>
          <w:kern w:val="0"/>
          <w:sz w:val="36"/>
          <w:szCs w:val="36"/>
          <w:shd w:val="clear" w:color="auto" w:fill="FFFFFF"/>
          <w:lang w:val="en-US" w:eastAsia="zh-CN" w:bidi="ar"/>
        </w:rPr>
        <w:t>二〇一九年十月</w:t>
      </w:r>
    </w:p>
    <w:p>
      <w:pPr>
        <w:keepNext w:val="0"/>
        <w:keepLines w:val="0"/>
        <w:pageBreakBefore w:val="0"/>
        <w:widowControl w:val="0"/>
        <w:kinsoku/>
        <w:overflowPunct/>
        <w:topLinePunct w:val="0"/>
        <w:autoSpaceDE/>
        <w:autoSpaceDN/>
        <w:bidi w:val="0"/>
        <w:adjustRightInd/>
        <w:snapToGrid/>
        <w:textAlignment w:val="auto"/>
        <w:rPr>
          <w:rFonts w:hint="eastAsia" w:ascii="仿宋_GB2312" w:hAnsi="仿宋_GB2312" w:eastAsia="仿宋_GB2312" w:cs="仿宋_GB2312"/>
          <w:b/>
          <w:color w:val="auto"/>
          <w:kern w:val="0"/>
          <w:sz w:val="32"/>
          <w:szCs w:val="32"/>
          <w:shd w:val="clear" w:color="auto" w:fill="FFFFFF"/>
          <w:lang w:val="en-US" w:eastAsia="zh-CN" w:bidi="ar"/>
        </w:rPr>
      </w:pPr>
      <w:r>
        <w:rPr>
          <w:rFonts w:hint="eastAsia" w:ascii="仿宋_GB2312" w:hAnsi="仿宋_GB2312" w:eastAsia="仿宋_GB2312" w:cs="仿宋_GB2312"/>
          <w:b/>
          <w:color w:val="auto"/>
          <w:kern w:val="0"/>
          <w:sz w:val="32"/>
          <w:szCs w:val="32"/>
          <w:shd w:val="clear" w:color="auto" w:fill="FFFFFF"/>
          <w:lang w:val="en-US" w:eastAsia="zh-CN" w:bidi="ar"/>
        </w:rPr>
        <w:br w:type="page"/>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auto"/>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r>
        <w:rPr>
          <w:rFonts w:hint="eastAsia" w:ascii="方正小标宋简体" w:hAnsi="方正小标宋简体" w:eastAsia="方正小标宋简体" w:cs="方正小标宋简体"/>
          <w:b/>
          <w:color w:val="auto"/>
          <w:kern w:val="0"/>
          <w:sz w:val="44"/>
          <w:szCs w:val="44"/>
          <w:shd w:val="clear" w:color="auto" w:fill="FFFFFF"/>
          <w:lang w:val="en-US" w:eastAsia="zh-CN" w:bidi="ar"/>
        </w:rPr>
        <w:t>目   录</w:t>
      </w:r>
      <w:bookmarkStart w:id="0" w:name="_Toc22916"/>
    </w:p>
    <w:bookmarkEnd w:id="0"/>
    <w:p>
      <w:pPr>
        <w:keepNext w:val="0"/>
        <w:keepLines w:val="0"/>
        <w:pageBreakBefore w:val="0"/>
        <w:widowControl/>
        <w:shd w:val="clear" w:color="auto"/>
        <w:kinsoku/>
        <w:wordWrap/>
        <w:overflowPunct/>
        <w:topLinePunct w:val="0"/>
        <w:autoSpaceDE/>
        <w:autoSpaceDN/>
        <w:bidi w:val="0"/>
        <w:adjustRightInd/>
        <w:snapToGrid/>
        <w:spacing w:line="560" w:lineRule="exact"/>
        <w:ind w:firstLine="0" w:firstLineChars="0"/>
        <w:jc w:val="both"/>
        <w:textAlignment w:val="auto"/>
        <w:outlineLvl w:val="0"/>
        <w:rPr>
          <w:rFonts w:hint="eastAsia" w:ascii="仿宋_GB2312" w:hAnsi="仿宋_GB2312" w:eastAsia="仿宋_GB2312" w:cs="仿宋_GB2312"/>
          <w:color w:val="auto"/>
          <w:kern w:val="0"/>
          <w:sz w:val="28"/>
          <w:szCs w:val="28"/>
          <w:lang w:val="en-US" w:eastAsia="zh-CN" w:bidi="ar"/>
        </w:rPr>
      </w:pPr>
    </w:p>
    <w:p>
      <w:pPr>
        <w:keepNext w:val="0"/>
        <w:keepLines w:val="0"/>
        <w:pageBreakBefore w:val="0"/>
        <w:widowControl/>
        <w:shd w:val="clear" w:color="auto"/>
        <w:kinsoku/>
        <w:wordWrap/>
        <w:overflowPunct/>
        <w:topLinePunct w:val="0"/>
        <w:autoSpaceDE/>
        <w:autoSpaceDN/>
        <w:bidi w:val="0"/>
        <w:adjustRightInd/>
        <w:snapToGrid/>
        <w:spacing w:line="560" w:lineRule="exact"/>
        <w:jc w:val="distribute"/>
        <w:textAlignment w:val="auto"/>
        <w:outlineLvl w:val="0"/>
        <w:rPr>
          <w:rFonts w:hint="default" w:ascii="黑体" w:hAnsi="黑体" w:eastAsia="黑体" w:cs="黑体"/>
          <w:b/>
          <w:bCs/>
          <w:color w:val="auto"/>
          <w:kern w:val="0"/>
          <w:sz w:val="28"/>
          <w:szCs w:val="28"/>
          <w:lang w:val="en-US" w:eastAsia="zh-CN" w:bidi="ar"/>
        </w:rPr>
      </w:pPr>
      <w:r>
        <w:rPr>
          <w:rFonts w:hint="eastAsia" w:ascii="黑体" w:hAnsi="黑体" w:eastAsia="黑体" w:cs="黑体"/>
          <w:b/>
          <w:bCs/>
          <w:color w:val="auto"/>
          <w:kern w:val="0"/>
          <w:sz w:val="28"/>
          <w:szCs w:val="28"/>
          <w:lang w:val="en-US" w:eastAsia="zh-CN" w:bidi="ar"/>
        </w:rPr>
        <w:t>一、中国共产党廉洁自律准则……………………………………………1</w:t>
      </w:r>
    </w:p>
    <w:p>
      <w:pPr>
        <w:keepNext w:val="0"/>
        <w:keepLines w:val="0"/>
        <w:pageBreakBefore w:val="0"/>
        <w:widowControl/>
        <w:shd w:val="clear" w:color="auto"/>
        <w:kinsoku/>
        <w:wordWrap/>
        <w:overflowPunct/>
        <w:topLinePunct w:val="0"/>
        <w:autoSpaceDE/>
        <w:autoSpaceDN/>
        <w:bidi w:val="0"/>
        <w:adjustRightInd/>
        <w:snapToGrid/>
        <w:spacing w:line="560" w:lineRule="exact"/>
        <w:jc w:val="distribute"/>
        <w:textAlignment w:val="auto"/>
        <w:outlineLvl w:val="0"/>
        <w:rPr>
          <w:rFonts w:hint="default" w:ascii="黑体" w:hAnsi="黑体" w:eastAsia="黑体" w:cs="黑体"/>
          <w:b/>
          <w:bCs/>
          <w:color w:val="auto"/>
          <w:kern w:val="0"/>
          <w:sz w:val="28"/>
          <w:szCs w:val="28"/>
          <w:lang w:val="en-US" w:eastAsia="zh-CN" w:bidi="ar"/>
        </w:rPr>
      </w:pPr>
      <w:r>
        <w:rPr>
          <w:rFonts w:hint="eastAsia" w:ascii="黑体" w:hAnsi="黑体" w:eastAsia="黑体" w:cs="黑体"/>
          <w:b/>
          <w:bCs/>
          <w:color w:val="auto"/>
          <w:kern w:val="0"/>
          <w:sz w:val="28"/>
          <w:szCs w:val="28"/>
          <w:lang w:val="en-US" w:eastAsia="zh-CN" w:bidi="ar"/>
        </w:rPr>
        <w:t>二、关于新形势下党内政治生活的若干准则……………………………2</w:t>
      </w:r>
    </w:p>
    <w:p>
      <w:pPr>
        <w:keepNext w:val="0"/>
        <w:keepLines w:val="0"/>
        <w:pageBreakBefore w:val="0"/>
        <w:widowControl/>
        <w:shd w:val="clear" w:color="auto"/>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bCs/>
          <w:color w:val="auto"/>
          <w:kern w:val="0"/>
          <w:sz w:val="28"/>
          <w:szCs w:val="28"/>
          <w:lang w:val="en-US" w:eastAsia="zh-CN" w:bidi="ar"/>
        </w:rPr>
      </w:pPr>
      <w:r>
        <w:rPr>
          <w:rFonts w:hint="eastAsia" w:ascii="黑体" w:hAnsi="黑体" w:eastAsia="黑体" w:cs="黑体"/>
          <w:b/>
          <w:bCs/>
          <w:color w:val="auto"/>
          <w:kern w:val="0"/>
          <w:sz w:val="28"/>
          <w:szCs w:val="28"/>
          <w:lang w:val="en-US" w:eastAsia="zh-CN" w:bidi="ar"/>
        </w:rPr>
        <w:t>三、习近平新时代中国特色社会主义思想学习纲要1-10章（略）</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1、中国特色社会主义进入新时代——关于我国发展新的历史方位</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2、当代中国发展进步的根本方向——关于新时代坚持和发展中国特色社会主义</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3、坚持以人民为中心——关于新时代坚持和发展中国特色社会主义的根本立场</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4、实现中华民族伟大复兴的中国梦——关于新时代坚持和发展中国特色社会主义的奋斗目标</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5、开启全面建议社会主义现代化国家新征程——关于新时代坚持和发展中国特色社会主义的战略安排</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6、中国共产党领导是中国特色社会主义最本质的特征——关于新时代坚持和发展中国特色社会主义的领导力量</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7、将全国深化改革进行到底——关于新时代坚持和发展中国特色社会主义的根本动力</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8、全面推进依法治国——关于新时代坚持和发展中国特色社会主义的本质要求</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9、以新发展理念引领经济高质量发展——关于新时代中国特色社会主义经济建设</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10、发展社会主义民主政治——关于新时代中国特色社会主义政治建设</w:t>
      </w:r>
    </w:p>
    <w:p>
      <w:pPr>
        <w:keepNext w:val="0"/>
        <w:keepLines w:val="0"/>
        <w:pageBreakBefore w:val="0"/>
        <w:widowControl/>
        <w:shd w:val="clear" w:color="auto"/>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bCs/>
          <w:color w:val="auto"/>
          <w:kern w:val="0"/>
          <w:sz w:val="28"/>
          <w:szCs w:val="28"/>
          <w:lang w:val="en-US" w:eastAsia="zh-CN" w:bidi="ar"/>
        </w:rPr>
      </w:pPr>
      <w:r>
        <w:rPr>
          <w:rFonts w:hint="eastAsia" w:ascii="黑体" w:hAnsi="黑体" w:eastAsia="黑体" w:cs="黑体"/>
          <w:b/>
          <w:bCs/>
          <w:color w:val="auto"/>
          <w:kern w:val="0"/>
          <w:sz w:val="28"/>
          <w:szCs w:val="28"/>
          <w:lang w:val="en-US" w:eastAsia="zh-CN" w:bidi="ar"/>
        </w:rPr>
        <w:t>四、习近平关于“不忘初心、牢记使命”论述摘编1-5章（略）</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1、中国共产党人的初心和使命，就是为中国人民谋幸福，为中华民族谋复兴</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2、新时代中国共产党的历史使命</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3、用新时代中国特色社会主义思想武装全党</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4、坚定理想信念，始终是共产党人安身立命的根本</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560" w:firstLineChars="200"/>
        <w:jc w:val="both"/>
        <w:textAlignment w:val="auto"/>
        <w:outlineLvl w:val="0"/>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5、把政治建设摆在首位，不断增强“四个意识”、坚定“四个自信”、做到“两个维护”</w:t>
      </w:r>
    </w:p>
    <w:p>
      <w:pPr>
        <w:keepNext w:val="0"/>
        <w:keepLines w:val="0"/>
        <w:pageBreakBefore w:val="0"/>
        <w:widowControl/>
        <w:shd w:val="clear" w:color="auto"/>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b/>
          <w:bCs/>
          <w:color w:val="auto"/>
          <w:kern w:val="0"/>
          <w:sz w:val="28"/>
          <w:szCs w:val="28"/>
          <w:lang w:val="en-US" w:eastAsia="zh-CN" w:bidi="ar"/>
        </w:rPr>
      </w:pPr>
      <w:r>
        <w:rPr>
          <w:rFonts w:hint="eastAsia" w:ascii="黑体" w:hAnsi="黑体" w:eastAsia="黑体" w:cs="黑体"/>
          <w:b/>
          <w:bCs/>
          <w:color w:val="auto"/>
          <w:kern w:val="0"/>
          <w:sz w:val="28"/>
          <w:szCs w:val="28"/>
          <w:lang w:val="en-US" w:eastAsia="zh-CN" w:bidi="ar"/>
        </w:rPr>
        <w:t>五、中共中央办公厅  国务院办公厅印发《关于促进小农户和现代农业发展有机衔接的意见》的通知……………………………………………27</w:t>
      </w:r>
    </w:p>
    <w:p>
      <w:pPr>
        <w:keepNext w:val="0"/>
        <w:keepLines w:val="0"/>
        <w:pageBreakBefore w:val="0"/>
        <w:widowControl/>
        <w:numPr>
          <w:ilvl w:val="0"/>
          <w:numId w:val="1"/>
        </w:numPr>
        <w:shd w:val="clear" w:color="auto"/>
        <w:kinsoku/>
        <w:wordWrap/>
        <w:overflowPunct/>
        <w:topLinePunct w:val="0"/>
        <w:autoSpaceDE/>
        <w:autoSpaceDN/>
        <w:bidi w:val="0"/>
        <w:adjustRightInd/>
        <w:snapToGrid/>
        <w:spacing w:line="560" w:lineRule="exact"/>
        <w:jc w:val="both"/>
        <w:textAlignment w:val="auto"/>
        <w:outlineLvl w:val="0"/>
        <w:rPr>
          <w:rFonts w:hint="default" w:ascii="黑体" w:hAnsi="黑体" w:eastAsia="黑体" w:cs="黑体"/>
          <w:b/>
          <w:bCs/>
          <w:color w:val="auto"/>
          <w:kern w:val="0"/>
          <w:sz w:val="28"/>
          <w:szCs w:val="28"/>
          <w:lang w:val="en-US" w:eastAsia="zh-CN" w:bidi="ar"/>
        </w:rPr>
        <w:sectPr>
          <w:pgSz w:w="11906" w:h="16838"/>
          <w:pgMar w:top="1417" w:right="1587" w:bottom="1417" w:left="1587" w:header="851" w:footer="992" w:gutter="0"/>
          <w:pgNumType w:fmt="decimal" w:start="1"/>
          <w:cols w:space="0" w:num="1"/>
          <w:rtlGutter w:val="0"/>
          <w:docGrid w:type="lines" w:linePitch="312" w:charSpace="0"/>
        </w:sectPr>
      </w:pPr>
      <w:r>
        <w:rPr>
          <w:rFonts w:hint="eastAsia" w:ascii="黑体" w:hAnsi="黑体" w:eastAsia="黑体" w:cs="黑体"/>
          <w:b/>
          <w:bCs/>
          <w:color w:val="auto"/>
          <w:kern w:val="0"/>
          <w:sz w:val="28"/>
          <w:szCs w:val="28"/>
          <w:lang w:val="en-US" w:eastAsia="zh-CN" w:bidi="ar"/>
        </w:rPr>
        <w:t>商学院党委书记鲍宏礼同志讲党课——2019年版《中国共产党问责条例》学习汇报……………………………………………………………40</w:t>
      </w:r>
    </w:p>
    <w:p>
      <w:pPr>
        <w:keepNext w:val="0"/>
        <w:keepLines w:val="0"/>
        <w:pageBreakBefore w:val="0"/>
        <w:widowControl/>
        <w:shd w:val="clear" w:color="auto"/>
        <w:kinsoku/>
        <w:wordWrap/>
        <w:overflowPunct/>
        <w:topLinePunct w:val="0"/>
        <w:autoSpaceDE/>
        <w:autoSpaceDN/>
        <w:bidi w:val="0"/>
        <w:adjustRightInd/>
        <w:snapToGrid/>
        <w:spacing w:line="720" w:lineRule="exact"/>
        <w:ind w:firstLine="0" w:firstLineChars="0"/>
        <w:jc w:val="center"/>
        <w:textAlignment w:val="auto"/>
        <w:outlineLvl w:val="0"/>
        <w:rPr>
          <w:rFonts w:hint="eastAsia" w:ascii="方正小标宋简体" w:hAnsi="方正小标宋简体" w:eastAsia="方正小标宋简体" w:cs="方正小标宋简体"/>
          <w:b/>
          <w:bCs/>
          <w:color w:val="auto"/>
          <w:kern w:val="36"/>
          <w:sz w:val="44"/>
          <w:szCs w:val="44"/>
        </w:rPr>
      </w:pPr>
      <w:r>
        <w:rPr>
          <w:rFonts w:hint="eastAsia" w:ascii="方正小标宋简体" w:hAnsi="方正小标宋简体" w:eastAsia="方正小标宋简体" w:cs="方正小标宋简体"/>
          <w:b/>
          <w:bCs/>
          <w:color w:val="auto"/>
          <w:kern w:val="36"/>
          <w:sz w:val="44"/>
          <w:szCs w:val="44"/>
        </w:rPr>
        <w:t>中国共产党廉洁自律准则</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shd w:val="clear" w:color="auto"/>
        <w:kinsoku/>
        <w:wordWrap/>
        <w:overflowPunct/>
        <w:topLinePunct w:val="0"/>
        <w:autoSpaceDE/>
        <w:autoSpaceDN/>
        <w:bidi w:val="0"/>
        <w:adjustRightInd/>
        <w:snapToGrid/>
        <w:spacing w:line="700" w:lineRule="exact"/>
        <w:ind w:firstLine="0"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keepNext w:val="0"/>
        <w:keepLines w:val="0"/>
        <w:pageBreakBefore w:val="0"/>
        <w:widowControl/>
        <w:shd w:val="clear" w:color="auto"/>
        <w:kinsoku/>
        <w:wordWrap/>
        <w:overflowPunct/>
        <w:topLinePunct w:val="0"/>
        <w:autoSpaceDE/>
        <w:autoSpaceDN/>
        <w:bidi w:val="0"/>
        <w:adjustRightInd/>
        <w:snapToGrid/>
        <w:spacing w:line="700" w:lineRule="exact"/>
        <w:ind w:firstLine="0" w:firstLineChars="0"/>
        <w:jc w:val="left"/>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　</w:t>
      </w:r>
      <w:r>
        <w:rPr>
          <w:rFonts w:hint="eastAsia" w:ascii="黑体" w:hAnsi="黑体" w:eastAsia="黑体" w:cs="黑体"/>
          <w:b/>
          <w:bCs/>
          <w:color w:val="auto"/>
          <w:kern w:val="0"/>
          <w:sz w:val="32"/>
          <w:szCs w:val="32"/>
        </w:rPr>
        <w:t>　党员廉洁自律规范</w:t>
      </w:r>
    </w:p>
    <w:p>
      <w:pPr>
        <w:keepNext w:val="0"/>
        <w:keepLines w:val="0"/>
        <w:pageBreakBefore w:val="0"/>
        <w:widowControl/>
        <w:shd w:val="clear" w:color="auto"/>
        <w:kinsoku/>
        <w:wordWrap/>
        <w:overflowPunct/>
        <w:topLinePunct w:val="0"/>
        <w:autoSpaceDE/>
        <w:autoSpaceDN/>
        <w:bidi w:val="0"/>
        <w:adjustRightInd/>
        <w:snapToGrid/>
        <w:spacing w:line="700" w:lineRule="exact"/>
        <w:ind w:firstLine="0"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第一条　坚持公私分明，先公后私，克己奉公。</w:t>
      </w:r>
    </w:p>
    <w:p>
      <w:pPr>
        <w:keepNext w:val="0"/>
        <w:keepLines w:val="0"/>
        <w:pageBreakBefore w:val="0"/>
        <w:widowControl/>
        <w:shd w:val="clear" w:color="auto"/>
        <w:kinsoku/>
        <w:wordWrap/>
        <w:overflowPunct/>
        <w:topLinePunct w:val="0"/>
        <w:autoSpaceDE/>
        <w:autoSpaceDN/>
        <w:bidi w:val="0"/>
        <w:adjustRightInd/>
        <w:snapToGrid/>
        <w:spacing w:line="700" w:lineRule="exact"/>
        <w:ind w:firstLine="0"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第二条　坚持崇廉拒腐，清白做人，干净做事。</w:t>
      </w:r>
    </w:p>
    <w:p>
      <w:pPr>
        <w:keepNext w:val="0"/>
        <w:keepLines w:val="0"/>
        <w:pageBreakBefore w:val="0"/>
        <w:widowControl/>
        <w:shd w:val="clear" w:color="auto"/>
        <w:kinsoku/>
        <w:wordWrap/>
        <w:overflowPunct/>
        <w:topLinePunct w:val="0"/>
        <w:autoSpaceDE/>
        <w:autoSpaceDN/>
        <w:bidi w:val="0"/>
        <w:adjustRightInd/>
        <w:snapToGrid/>
        <w:spacing w:line="700" w:lineRule="exact"/>
        <w:ind w:firstLine="0"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第三条　坚持尚俭戒奢，艰苦朴素，勤俭节约。</w:t>
      </w:r>
    </w:p>
    <w:p>
      <w:pPr>
        <w:keepNext w:val="0"/>
        <w:keepLines w:val="0"/>
        <w:pageBreakBefore w:val="0"/>
        <w:widowControl/>
        <w:shd w:val="clear" w:color="auto"/>
        <w:kinsoku/>
        <w:wordWrap/>
        <w:overflowPunct/>
        <w:topLinePunct w:val="0"/>
        <w:autoSpaceDE/>
        <w:autoSpaceDN/>
        <w:bidi w:val="0"/>
        <w:adjustRightInd/>
        <w:snapToGrid/>
        <w:spacing w:line="700" w:lineRule="exact"/>
        <w:ind w:firstLine="0"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第四条　坚持吃苦在前，享受在后，甘于奉献。</w:t>
      </w:r>
    </w:p>
    <w:p>
      <w:pPr>
        <w:keepNext w:val="0"/>
        <w:keepLines w:val="0"/>
        <w:pageBreakBefore w:val="0"/>
        <w:widowControl/>
        <w:shd w:val="clear" w:color="auto"/>
        <w:kinsoku/>
        <w:wordWrap/>
        <w:overflowPunct/>
        <w:topLinePunct w:val="0"/>
        <w:autoSpaceDE/>
        <w:autoSpaceDN/>
        <w:bidi w:val="0"/>
        <w:adjustRightInd/>
        <w:snapToGrid/>
        <w:spacing w:line="700" w:lineRule="exact"/>
        <w:ind w:firstLine="0" w:firstLineChars="0"/>
        <w:jc w:val="left"/>
        <w:textAlignment w:val="auto"/>
        <w:rPr>
          <w:rFonts w:hint="eastAsia" w:ascii="黑体" w:hAnsi="黑体" w:eastAsia="黑体" w:cs="黑体"/>
          <w:b/>
          <w:bCs/>
          <w:i w:val="0"/>
          <w:iCs w:val="0"/>
          <w:color w:val="auto"/>
          <w:kern w:val="0"/>
          <w:sz w:val="32"/>
          <w:szCs w:val="32"/>
        </w:rPr>
      </w:pPr>
      <w:r>
        <w:rPr>
          <w:rFonts w:hint="eastAsia" w:ascii="黑体" w:hAnsi="黑体" w:eastAsia="黑体" w:cs="黑体"/>
          <w:b/>
          <w:bCs/>
          <w:i w:val="0"/>
          <w:iCs w:val="0"/>
          <w:color w:val="auto"/>
          <w:kern w:val="0"/>
          <w:sz w:val="32"/>
          <w:szCs w:val="32"/>
        </w:rPr>
        <w:t>　　党员领导干部廉洁自律规范</w:t>
      </w:r>
    </w:p>
    <w:p>
      <w:pPr>
        <w:keepNext w:val="0"/>
        <w:keepLines w:val="0"/>
        <w:pageBreakBefore w:val="0"/>
        <w:widowControl/>
        <w:shd w:val="clear" w:color="auto"/>
        <w:kinsoku/>
        <w:wordWrap/>
        <w:overflowPunct/>
        <w:topLinePunct w:val="0"/>
        <w:autoSpaceDE/>
        <w:autoSpaceDN/>
        <w:bidi w:val="0"/>
        <w:adjustRightInd/>
        <w:snapToGrid/>
        <w:spacing w:line="700" w:lineRule="exact"/>
        <w:ind w:firstLine="0"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第五条　廉洁从政，自觉保持人民公仆本色。</w:t>
      </w:r>
    </w:p>
    <w:p>
      <w:pPr>
        <w:keepNext w:val="0"/>
        <w:keepLines w:val="0"/>
        <w:pageBreakBefore w:val="0"/>
        <w:widowControl/>
        <w:shd w:val="clear" w:color="auto"/>
        <w:kinsoku/>
        <w:wordWrap/>
        <w:overflowPunct/>
        <w:topLinePunct w:val="0"/>
        <w:autoSpaceDE/>
        <w:autoSpaceDN/>
        <w:bidi w:val="0"/>
        <w:adjustRightInd/>
        <w:snapToGrid/>
        <w:spacing w:line="700" w:lineRule="exact"/>
        <w:ind w:firstLine="0"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第六条　廉洁用权，自觉维护人民根本利益。</w:t>
      </w:r>
    </w:p>
    <w:p>
      <w:pPr>
        <w:keepNext w:val="0"/>
        <w:keepLines w:val="0"/>
        <w:pageBreakBefore w:val="0"/>
        <w:widowControl/>
        <w:shd w:val="clear" w:color="auto"/>
        <w:kinsoku/>
        <w:wordWrap/>
        <w:overflowPunct/>
        <w:topLinePunct w:val="0"/>
        <w:autoSpaceDE/>
        <w:autoSpaceDN/>
        <w:bidi w:val="0"/>
        <w:adjustRightInd/>
        <w:snapToGrid/>
        <w:spacing w:line="700" w:lineRule="exact"/>
        <w:ind w:firstLine="0"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第七条　廉洁修身，自觉提升思想道德境界。</w:t>
      </w:r>
    </w:p>
    <w:p>
      <w:pPr>
        <w:keepNext w:val="0"/>
        <w:keepLines w:val="0"/>
        <w:pageBreakBefore w:val="0"/>
        <w:widowControl/>
        <w:shd w:val="clear" w:color="auto"/>
        <w:kinsoku/>
        <w:wordWrap/>
        <w:overflowPunct/>
        <w:topLinePunct w:val="0"/>
        <w:autoSpaceDE/>
        <w:autoSpaceDN/>
        <w:bidi w:val="0"/>
        <w:adjustRightInd/>
        <w:snapToGrid/>
        <w:spacing w:line="700" w:lineRule="exact"/>
        <w:ind w:firstLine="0" w:firstLineChars="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第八条　廉洁齐家，自觉带头树立良好家风。</w:t>
      </w:r>
    </w:p>
    <w:p>
      <w:pPr>
        <w:keepNext w:val="0"/>
        <w:keepLines w:val="0"/>
        <w:pageBreakBefore w:val="0"/>
        <w:shd w:val="clear"/>
        <w:kinsoku/>
        <w:wordWrap/>
        <w:overflowPunct/>
        <w:topLinePunct w:val="0"/>
        <w:autoSpaceDE/>
        <w:autoSpaceDN/>
        <w:bidi w:val="0"/>
        <w:adjustRightInd/>
        <w:snapToGrid/>
        <w:spacing w:line="700" w:lineRule="exact"/>
        <w:ind w:firstLine="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pPr>
        <w:keepNext w:val="0"/>
        <w:keepLines w:val="0"/>
        <w:pageBreakBefore w:val="0"/>
        <w:widowControl/>
        <w:shd w:val="clear" w:color="auto"/>
        <w:kinsoku/>
        <w:wordWrap/>
        <w:overflowPunct/>
        <w:topLinePunct w:val="0"/>
        <w:autoSpaceDE/>
        <w:autoSpaceDN/>
        <w:bidi w:val="0"/>
        <w:adjustRightInd/>
        <w:snapToGrid/>
        <w:spacing w:line="720" w:lineRule="exact"/>
        <w:jc w:val="center"/>
        <w:textAlignment w:val="auto"/>
        <w:outlineLvl w:val="0"/>
        <w:rPr>
          <w:rFonts w:hint="eastAsia" w:ascii="方正小标宋简体" w:hAnsi="方正小标宋简体" w:eastAsia="方正小标宋简体" w:cs="方正小标宋简体"/>
          <w:b/>
          <w:bCs/>
          <w:color w:val="auto"/>
          <w:kern w:val="36"/>
          <w:sz w:val="44"/>
          <w:szCs w:val="44"/>
        </w:rPr>
      </w:pPr>
      <w:bookmarkStart w:id="1" w:name="_Toc17722"/>
      <w:r>
        <w:rPr>
          <w:rFonts w:hint="eastAsia" w:ascii="方正小标宋简体" w:hAnsi="方正小标宋简体" w:eastAsia="方正小标宋简体" w:cs="方正小标宋简体"/>
          <w:b/>
          <w:bCs/>
          <w:color w:val="auto"/>
          <w:kern w:val="36"/>
          <w:sz w:val="44"/>
          <w:szCs w:val="44"/>
        </w:rPr>
        <w:t>关于新形势下党内政治生活的若干准则</w:t>
      </w:r>
      <w:bookmarkEnd w:id="1"/>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办好中国的事情，关键在党，关键在党要管党、从严治党。党要管党必须从党内政治生活管起，从严治党必须从党内政治生活严起。</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黑体" w:hAnsi="黑体" w:eastAsia="黑体" w:cs="黑体"/>
          <w:color w:val="auto"/>
          <w:sz w:val="32"/>
          <w:szCs w:val="32"/>
        </w:rPr>
      </w:pPr>
      <w:r>
        <w:rPr>
          <w:rStyle w:val="15"/>
          <w:rFonts w:hint="eastAsia" w:ascii="黑体" w:hAnsi="黑体" w:eastAsia="黑体" w:cs="黑体"/>
          <w:color w:val="auto"/>
          <w:sz w:val="32"/>
          <w:szCs w:val="32"/>
        </w:rPr>
        <w:t>一、坚定理想信念</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5"/>
          <w:rFonts w:hint="eastAsia" w:ascii="黑体" w:hAnsi="黑体" w:eastAsia="黑体" w:cs="黑体"/>
          <w:color w:val="auto"/>
          <w:sz w:val="32"/>
          <w:szCs w:val="32"/>
        </w:rPr>
      </w:pPr>
      <w:r>
        <w:rPr>
          <w:rStyle w:val="15"/>
          <w:rFonts w:hint="eastAsia" w:ascii="黑体" w:hAnsi="黑体" w:eastAsia="黑体" w:cs="黑体"/>
          <w:color w:val="auto"/>
          <w:sz w:val="32"/>
          <w:szCs w:val="32"/>
        </w:rPr>
        <w:t>二、坚持党的基本路线</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5"/>
          <w:rFonts w:hint="eastAsia" w:ascii="黑体" w:hAnsi="黑体" w:eastAsia="黑体" w:cs="黑体"/>
          <w:color w:val="auto"/>
          <w:sz w:val="32"/>
          <w:szCs w:val="32"/>
        </w:rPr>
      </w:pPr>
      <w:r>
        <w:rPr>
          <w:rStyle w:val="15"/>
          <w:rFonts w:hint="eastAsia" w:ascii="黑体" w:hAnsi="黑体" w:eastAsia="黑体" w:cs="黑体"/>
          <w:color w:val="auto"/>
          <w:sz w:val="32"/>
          <w:szCs w:val="32"/>
        </w:rPr>
        <w:t>三、坚决维护党中央权威</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省、自治区、直辖市党委在党中央领导下开展工作，同级各个组织中的党组织和领导干部要自觉接受同级党委领导、向同级党委负责，重大事项和重要情况及时向同级党委请示报告。</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5"/>
          <w:rFonts w:hint="eastAsia" w:ascii="黑体" w:hAnsi="黑体" w:eastAsia="黑体" w:cs="黑体"/>
          <w:color w:val="auto"/>
          <w:sz w:val="32"/>
          <w:szCs w:val="32"/>
        </w:rPr>
      </w:pPr>
      <w:r>
        <w:rPr>
          <w:rStyle w:val="15"/>
          <w:rFonts w:hint="eastAsia" w:ascii="黑体" w:hAnsi="黑体" w:eastAsia="黑体" w:cs="黑体"/>
          <w:color w:val="auto"/>
          <w:sz w:val="32"/>
          <w:szCs w:val="32"/>
        </w:rPr>
        <w:t>四、严明党的政治纪律</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纪律严明是全党统一意志、统一行动、步调一致前进的重要保障，是党内政治生活的重要内容。必须严明党的纪律，把纪律挺在前面，用铁的纪律从严治党。</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内不准搞拉拉扯扯、吹吹拍拍、阿谀奉承。对领导人的宣传要实事求是，禁止吹捧，禁止给领导人祝寿、送礼、发致敬函电，禁止在领导干部国内考察工作时组织迎送、张贴标语、敲锣打鼓、铺红地毯、举行宴会等。</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20" w:lineRule="exact"/>
        <w:ind w:firstLine="643" w:firstLineChars="200"/>
        <w:jc w:val="both"/>
        <w:textAlignment w:val="auto"/>
        <w:rPr>
          <w:rStyle w:val="15"/>
          <w:rFonts w:hint="eastAsia" w:ascii="黑体" w:hAnsi="黑体" w:eastAsia="黑体" w:cs="黑体"/>
          <w:color w:val="auto"/>
          <w:sz w:val="32"/>
          <w:szCs w:val="32"/>
        </w:rPr>
      </w:pPr>
      <w:r>
        <w:rPr>
          <w:rStyle w:val="15"/>
          <w:rFonts w:hint="eastAsia" w:ascii="黑体" w:hAnsi="黑体" w:eastAsia="黑体" w:cs="黑体"/>
          <w:color w:val="auto"/>
          <w:sz w:val="32"/>
          <w:szCs w:val="32"/>
        </w:rPr>
        <w:t>五、保持党同人民群众的血肉联系</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w:t>
      </w:r>
      <w:r>
        <w:rPr>
          <w:rFonts w:hint="eastAsia" w:ascii="仿宋_GB2312" w:hAnsi="仿宋_GB2312" w:eastAsia="仿宋_GB2312" w:cs="仿宋_GB2312"/>
          <w:color w:val="auto"/>
          <w:spacing w:val="-6"/>
          <w:sz w:val="32"/>
          <w:szCs w:val="32"/>
        </w:rPr>
        <w:t>不允许为了个人政绩、选票和形象脱离实际随意决策、随便许愿。</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5"/>
          <w:rFonts w:hint="eastAsia" w:ascii="黑体" w:hAnsi="黑体" w:eastAsia="黑体" w:cs="黑体"/>
          <w:color w:val="auto"/>
          <w:sz w:val="32"/>
          <w:szCs w:val="32"/>
        </w:rPr>
      </w:pPr>
      <w:r>
        <w:rPr>
          <w:rStyle w:val="15"/>
          <w:rFonts w:hint="eastAsia" w:ascii="黑体" w:hAnsi="黑体" w:eastAsia="黑体" w:cs="黑体"/>
          <w:color w:val="auto"/>
          <w:sz w:val="32"/>
          <w:szCs w:val="32"/>
        </w:rPr>
        <w:t>六、坚持民主集中制原则</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领导班子成员必须坚决执行党组织决定，如有不同意见，可以保留或向上一级党组织提出，但在上级或本级党组织改变决定以前，除执行决定会立即引起严重后果等紧急情况外，必须无条件执行已作出的决定。</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在党的工作和活动中，该以组织名义出面不能以个人名义出面，该由集体研究不能个人擅自表态，不允许用个人主张代替党组织的主张、用个人决定代替党组织的决定。</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5"/>
          <w:rFonts w:hint="eastAsia" w:ascii="黑体" w:hAnsi="黑体" w:eastAsia="黑体" w:cs="黑体"/>
          <w:color w:val="auto"/>
          <w:sz w:val="32"/>
          <w:szCs w:val="32"/>
        </w:rPr>
      </w:pPr>
      <w:r>
        <w:rPr>
          <w:rStyle w:val="15"/>
          <w:rFonts w:hint="eastAsia" w:ascii="黑体" w:hAnsi="黑体" w:eastAsia="黑体" w:cs="黑体"/>
          <w:color w:val="auto"/>
          <w:sz w:val="32"/>
          <w:szCs w:val="32"/>
        </w:rPr>
        <w:t>七、发扬党内民主和保障党员权利</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党内民主是党的生命，是党内政治生活积极健康的重要基础。要坚持和完善党内民主各项制度，提高党内民主质量，党内决策、执行、监督等工作必须执行党章党规确定的民主原则</w:t>
      </w:r>
      <w:r>
        <w:rPr>
          <w:rFonts w:hint="eastAsia" w:ascii="仿宋_GB2312" w:hAnsi="仿宋_GB2312" w:eastAsia="仿宋_GB2312" w:cs="仿宋_GB2312"/>
          <w:color w:val="auto"/>
          <w:spacing w:val="-6"/>
          <w:sz w:val="32"/>
          <w:szCs w:val="32"/>
        </w:rPr>
        <w:t>和程序，任何党组织和个人都不得压制党内民主、破坏党内民主。</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中央委员会、中央政治局、中央政治局常务委员会和党的各级委员会作出重大决策部署，必须深入开展调查研究，广泛听取各方面意见和建议，凝聚智慧和力量，做到科学决策、民主决策、依法决策。</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5"/>
          <w:rFonts w:hint="eastAsia" w:ascii="黑体" w:hAnsi="黑体" w:eastAsia="黑体" w:cs="黑体"/>
          <w:color w:val="auto"/>
          <w:sz w:val="32"/>
          <w:szCs w:val="32"/>
        </w:rPr>
      </w:pPr>
      <w:r>
        <w:rPr>
          <w:rStyle w:val="15"/>
          <w:rFonts w:hint="eastAsia" w:ascii="黑体" w:hAnsi="黑体" w:eastAsia="黑体" w:cs="黑体"/>
          <w:color w:val="auto"/>
          <w:sz w:val="32"/>
          <w:szCs w:val="32"/>
        </w:rPr>
        <w:t>八、坚持正确选人用人导向</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坚持正确选人用人导向，是严肃党内政治生活的组织保证。必须严格标准、健全制度、完善政策、规范程序，使选出来的干部组织放心、群众满意、干部服气。</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干部是党的宝贵财富，必须既严格教育、严格管理、严格监督，又在政治上、思想上、工作上、生活上真诚关爱，鼓励干部干事创业、大胆作为。</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5"/>
          <w:rFonts w:hint="eastAsia" w:ascii="黑体" w:hAnsi="黑体" w:eastAsia="黑体" w:cs="黑体"/>
          <w:color w:val="auto"/>
          <w:sz w:val="32"/>
          <w:szCs w:val="32"/>
        </w:rPr>
      </w:pPr>
      <w:r>
        <w:rPr>
          <w:rStyle w:val="15"/>
          <w:rFonts w:hint="eastAsia" w:ascii="黑体" w:hAnsi="黑体" w:eastAsia="黑体" w:cs="黑体"/>
          <w:color w:val="auto"/>
          <w:sz w:val="32"/>
          <w:szCs w:val="32"/>
        </w:rPr>
        <w:t>九、严格党的组织生活制度</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党的组织生活是党内政治生活的重要内容和载体，是党组织对党员进行教育管理监督的重要形式。必须坚持党的组织生活各项制度，创新方式方法，增强党的组织生活活力。</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w:t>
      </w:r>
      <w:r>
        <w:rPr>
          <w:rFonts w:hint="eastAsia" w:ascii="仿宋_GB2312" w:hAnsi="仿宋_GB2312" w:eastAsia="仿宋_GB2312" w:cs="仿宋_GB2312"/>
          <w:color w:val="auto"/>
          <w:spacing w:val="-6"/>
          <w:sz w:val="32"/>
          <w:szCs w:val="32"/>
        </w:rPr>
        <w:t>每个党员都要按规定自觉交纳党费，党费使用和管理要公开透明。</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坚持谈心谈话制度。党组织领导班子成员之间、班子成员和党员之间、党员和党员之间要开展经常性的谈心谈话，坦诚相见，交流思想，交换意见。领导干部要带头谈，也要接受党员、干部约谈。</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5"/>
          <w:rFonts w:hint="eastAsia" w:ascii="黑体" w:hAnsi="黑体" w:eastAsia="黑体" w:cs="黑体"/>
          <w:color w:val="auto"/>
          <w:sz w:val="32"/>
          <w:szCs w:val="32"/>
        </w:rPr>
      </w:pPr>
      <w:r>
        <w:rPr>
          <w:rStyle w:val="15"/>
          <w:rFonts w:hint="eastAsia" w:ascii="黑体" w:hAnsi="黑体" w:eastAsia="黑体" w:cs="黑体"/>
          <w:color w:val="auto"/>
          <w:sz w:val="32"/>
          <w:szCs w:val="32"/>
        </w:rPr>
        <w:t>十、开展批评和自我批评</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批评和自我批评是我们党强身治病、保持肌体健康的锐利武器，也是加强和规范党内政治生活的重要手段。必须坚持不懈把批评和自我批评这个武器用好。</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党员、干部必须严于自我解剖，对发现的问题要深入剖析原因，认真整改。对待批评要有则改之、无则加勉，不能搞无原则的纷争。</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批评必须出于公心，不主观武断，不发泄私愤。坚决反对事不关己、高高挂起，明知不对、少说为佳的庸俗哲学和好人主义，坚决克服文过饰非、知错不改等错误倾向。</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5"/>
          <w:rFonts w:hint="eastAsia" w:ascii="黑体" w:hAnsi="黑体" w:eastAsia="黑体" w:cs="黑体"/>
          <w:color w:val="auto"/>
          <w:sz w:val="32"/>
          <w:szCs w:val="32"/>
        </w:rPr>
      </w:pPr>
      <w:r>
        <w:rPr>
          <w:rStyle w:val="15"/>
          <w:rFonts w:hint="eastAsia" w:ascii="黑体" w:hAnsi="黑体" w:eastAsia="黑体" w:cs="黑体"/>
          <w:color w:val="auto"/>
          <w:sz w:val="32"/>
          <w:szCs w:val="32"/>
        </w:rPr>
        <w:t>十一、加强对权力运行的制约和监督</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监督是权力正确运行的根本保证，是加强和规范党内政治生活的重要举措。必须加强对领导干部的监督，党内不允许有不受制约的权力，也不允许有不受监督的特殊党员。</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完善权力运行制约和监督机制，形成有权必有责、用权必担责、滥权必追责的制度安排。实行权力清单制度，公开权力运行过程和结果，健全不当用权问责机制，把权力关进制度笼子，让权力在阳光下运行。</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党的各级组织和领导干部必须在宪法法律范围内活动，增强法治意识、弘扬法治精神，自觉按法定权限、规则、程序办事，决不能以言代法、以权压法、徇私枉法，决不能违规干预司法。</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营造党内民主监督环境，畅通党内民主监督渠道。党的各级组织和全体党员要增强监督意识，既履行监督责任，又接受各方面监督。</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党内监督必须突出党的领导机关和领导干部特别是主要领导干部。领导干部要正确对待监督，主动接受监督，习惯在监督下开展工作，决不能拒绝监督、逃避监督。</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对涉及违纪违法行为的举报，对党员反映的问题，任何党组织和领导干部都不准隐瞒不报、拖延不办。涉及所反映问题的领导干部应该回避，不准干预或插手组织调查。</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坚持授权者要负责监督，发现问题要及时处置。强化上级组织对下级组织特别是主要领导干部行使权力的监督，防止权力失控和滥用。</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15"/>
          <w:rFonts w:hint="eastAsia" w:ascii="黑体" w:hAnsi="黑体" w:eastAsia="黑体" w:cs="黑体"/>
          <w:color w:val="auto"/>
          <w:sz w:val="32"/>
          <w:szCs w:val="32"/>
        </w:rPr>
      </w:pPr>
      <w:r>
        <w:rPr>
          <w:rStyle w:val="15"/>
          <w:rFonts w:hint="eastAsia" w:ascii="黑体" w:hAnsi="黑体" w:eastAsia="黑体" w:cs="黑体"/>
          <w:color w:val="auto"/>
          <w:sz w:val="32"/>
          <w:szCs w:val="32"/>
        </w:rPr>
        <w:t>十二、保持清正廉洁的政治本色</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建设廉洁政治，坚决反对腐败，是加强和规范党内政治生活的重要任务。必须筑牢拒腐防变的思想防线和制度防线，着力构建不敢腐、不能腐、不想腐的体制机制，保持党的肌体健康和队伍纯洁。</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各级领导干部必须严以修身、严以用权、严以律己，谋事要实、创业要实、做人要实，经得起权力、金钱、美色考验，用党和人民赋予的权力为人民服务。</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领导干部特别是高级干部必须带头践行社会主义核心价值观，继承和发扬党的优良传统和作风，弘扬中华民族传统美德，讲修养、讲道德、讲诚信、讲廉耻，养成共产党人的高风亮节，自觉远离低级趣味。</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pStyle w:val="11"/>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全面从严治党永远在路上。全党要坚持不懈努力，共同营造风清气正的政治生态，确保党始终成为中国特色社会主义事业的坚强领导核心。</w:t>
      </w:r>
    </w:p>
    <w:p>
      <w:pPr>
        <w:shd w:val="clear"/>
        <w:rPr>
          <w:rFonts w:hint="eastAsia" w:ascii="仿宋_GB2312" w:hAnsi="仿宋_GB2312" w:eastAsia="仿宋_GB2312" w:cs="仿宋_GB2312"/>
          <w:color w:val="auto"/>
          <w:sz w:val="32"/>
          <w:szCs w:val="32"/>
        </w:rPr>
      </w:pPr>
    </w:p>
    <w:p>
      <w:pPr>
        <w:keepNext w:val="0"/>
        <w:keepLines w:val="0"/>
        <w:pageBreakBefore w:val="0"/>
        <w:shd w:val="clea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pPr>
        <w:keepNext w:val="0"/>
        <w:keepLines w:val="0"/>
        <w:pageBreakBefore w:val="0"/>
        <w:widowControl/>
        <w:shd w:val="clear" w:color="auto"/>
        <w:kinsoku/>
        <w:wordWrap/>
        <w:overflowPunct/>
        <w:topLinePunct w:val="0"/>
        <w:autoSpaceDE/>
        <w:autoSpaceDN/>
        <w:bidi w:val="0"/>
        <w:adjustRightInd/>
        <w:snapToGrid/>
        <w:spacing w:line="720" w:lineRule="exact"/>
        <w:ind w:firstLine="0" w:firstLineChars="0"/>
        <w:jc w:val="center"/>
        <w:textAlignment w:val="auto"/>
        <w:outlineLvl w:val="0"/>
        <w:rPr>
          <w:rFonts w:hint="eastAsia" w:ascii="方正小标宋简体" w:hAnsi="方正小标宋简体" w:eastAsia="方正小标宋简体" w:cs="方正小标宋简体"/>
          <w:b/>
          <w:bCs/>
          <w:color w:val="auto"/>
          <w:kern w:val="36"/>
          <w:sz w:val="44"/>
          <w:szCs w:val="44"/>
        </w:rPr>
      </w:pPr>
      <w:r>
        <w:rPr>
          <w:rFonts w:hint="eastAsia" w:ascii="方正小标宋简体" w:hAnsi="方正小标宋简体" w:eastAsia="方正小标宋简体" w:cs="方正小标宋简体"/>
          <w:b/>
          <w:bCs/>
          <w:color w:val="auto"/>
          <w:kern w:val="36"/>
          <w:sz w:val="44"/>
          <w:szCs w:val="44"/>
        </w:rPr>
        <w:t>中共中央办公厅 国务院办公厅</w:t>
      </w:r>
    </w:p>
    <w:p>
      <w:pPr>
        <w:keepNext w:val="0"/>
        <w:keepLines w:val="0"/>
        <w:pageBreakBefore w:val="0"/>
        <w:widowControl/>
        <w:shd w:val="clear" w:color="auto"/>
        <w:kinsoku/>
        <w:wordWrap/>
        <w:overflowPunct/>
        <w:topLinePunct w:val="0"/>
        <w:autoSpaceDE/>
        <w:autoSpaceDN/>
        <w:bidi w:val="0"/>
        <w:adjustRightInd/>
        <w:snapToGrid/>
        <w:spacing w:line="720" w:lineRule="exact"/>
        <w:ind w:firstLine="0" w:firstLineChars="0"/>
        <w:jc w:val="center"/>
        <w:textAlignment w:val="auto"/>
        <w:outlineLvl w:val="0"/>
        <w:rPr>
          <w:rFonts w:hint="eastAsia" w:ascii="方正小标宋简体" w:hAnsi="方正小标宋简体" w:eastAsia="方正小标宋简体" w:cs="方正小标宋简体"/>
          <w:b/>
          <w:bCs/>
          <w:color w:val="auto"/>
          <w:kern w:val="36"/>
          <w:sz w:val="44"/>
          <w:szCs w:val="44"/>
        </w:rPr>
      </w:pPr>
      <w:r>
        <w:rPr>
          <w:rFonts w:hint="eastAsia" w:ascii="方正小标宋简体" w:hAnsi="方正小标宋简体" w:eastAsia="方正小标宋简体" w:cs="方正小标宋简体"/>
          <w:b/>
          <w:bCs/>
          <w:color w:val="auto"/>
          <w:kern w:val="36"/>
          <w:sz w:val="44"/>
          <w:szCs w:val="44"/>
        </w:rPr>
        <w:t>印发《关于促进小农户和现代农业发展有机</w:t>
      </w:r>
    </w:p>
    <w:p>
      <w:pPr>
        <w:keepNext w:val="0"/>
        <w:keepLines w:val="0"/>
        <w:pageBreakBefore w:val="0"/>
        <w:widowControl/>
        <w:shd w:val="clear" w:color="auto"/>
        <w:kinsoku/>
        <w:wordWrap/>
        <w:overflowPunct/>
        <w:topLinePunct w:val="0"/>
        <w:autoSpaceDE/>
        <w:autoSpaceDN/>
        <w:bidi w:val="0"/>
        <w:adjustRightInd/>
        <w:snapToGrid/>
        <w:spacing w:line="720" w:lineRule="exact"/>
        <w:ind w:firstLine="0" w:firstLineChars="0"/>
        <w:jc w:val="center"/>
        <w:textAlignment w:val="auto"/>
        <w:outlineLvl w:val="0"/>
        <w:rPr>
          <w:rFonts w:hint="eastAsia" w:ascii="方正小标宋简体" w:hAnsi="方正小标宋简体" w:eastAsia="方正小标宋简体" w:cs="方正小标宋简体"/>
          <w:b/>
          <w:bCs/>
          <w:color w:val="auto"/>
          <w:kern w:val="36"/>
          <w:sz w:val="44"/>
          <w:szCs w:val="44"/>
          <w:lang w:eastAsia="zh-CN"/>
        </w:rPr>
      </w:pPr>
      <w:r>
        <w:rPr>
          <w:rFonts w:hint="eastAsia" w:ascii="方正小标宋简体" w:hAnsi="方正小标宋简体" w:eastAsia="方正小标宋简体" w:cs="方正小标宋简体"/>
          <w:b/>
          <w:bCs/>
          <w:color w:val="auto"/>
          <w:kern w:val="36"/>
          <w:sz w:val="44"/>
          <w:szCs w:val="44"/>
        </w:rPr>
        <w:t>衔接的意见》</w:t>
      </w:r>
      <w:r>
        <w:rPr>
          <w:rFonts w:hint="eastAsia" w:ascii="方正小标宋简体" w:hAnsi="方正小标宋简体" w:eastAsia="方正小标宋简体" w:cs="方正小标宋简体"/>
          <w:b/>
          <w:bCs/>
          <w:color w:val="auto"/>
          <w:kern w:val="36"/>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各省、自治区、直辖市党委和人民政府，中央和国家机关各部委，解放军各大单位、中央军委机关各部门，各人民团体：</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关于促进小农户和现代农业发展有机衔接的意见</w:t>
      </w:r>
      <w:r>
        <w:rPr>
          <w:rFonts w:hint="eastAsia" w:ascii="仿宋_GB2312" w:hAnsi="仿宋_GB2312" w:eastAsia="仿宋_GB2312" w:cs="仿宋_GB2312"/>
          <w:color w:val="auto"/>
          <w:sz w:val="32"/>
          <w:szCs w:val="32"/>
          <w:lang w:eastAsia="zh-CN"/>
        </w:rPr>
        <w:t>》已经中央领导同志同意，现印发给你们，请结合实际认真贯彻落实。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中共中央办公厅</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国务院办公厅</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2019年1月29日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shd w:val="clear" w:color="auto"/>
        <w:kinsoku/>
        <w:wordWrap/>
        <w:overflowPunct/>
        <w:topLinePunct w:val="0"/>
        <w:autoSpaceDE/>
        <w:autoSpaceDN/>
        <w:bidi w:val="0"/>
        <w:adjustRightInd/>
        <w:snapToGrid/>
        <w:spacing w:line="720" w:lineRule="exact"/>
        <w:ind w:firstLine="0" w:firstLineChars="0"/>
        <w:jc w:val="center"/>
        <w:textAlignment w:val="auto"/>
        <w:outlineLvl w:val="0"/>
        <w:rPr>
          <w:rFonts w:hint="eastAsia" w:ascii="方正小标宋简体" w:hAnsi="方正小标宋简体" w:eastAsia="方正小标宋简体" w:cs="方正小标宋简体"/>
          <w:b/>
          <w:bCs/>
          <w:color w:val="auto"/>
          <w:kern w:val="36"/>
          <w:sz w:val="44"/>
          <w:szCs w:val="44"/>
        </w:rPr>
      </w:pPr>
      <w:r>
        <w:rPr>
          <w:rFonts w:hint="eastAsia" w:ascii="方正小标宋简体" w:hAnsi="方正小标宋简体" w:eastAsia="方正小标宋简体" w:cs="方正小标宋简体"/>
          <w:b/>
          <w:bCs/>
          <w:color w:val="auto"/>
          <w:kern w:val="36"/>
          <w:sz w:val="44"/>
          <w:szCs w:val="44"/>
        </w:rPr>
        <w:t>关于促进小农户和现代农业发展</w:t>
      </w:r>
    </w:p>
    <w:p>
      <w:pPr>
        <w:keepNext w:val="0"/>
        <w:keepLines w:val="0"/>
        <w:pageBreakBefore w:val="0"/>
        <w:widowControl/>
        <w:shd w:val="clear" w:color="auto"/>
        <w:kinsoku/>
        <w:wordWrap/>
        <w:overflowPunct/>
        <w:topLinePunct w:val="0"/>
        <w:autoSpaceDE/>
        <w:autoSpaceDN/>
        <w:bidi w:val="0"/>
        <w:adjustRightInd/>
        <w:snapToGrid/>
        <w:spacing w:line="720" w:lineRule="exact"/>
        <w:ind w:firstLine="0" w:firstLineChars="0"/>
        <w:jc w:val="center"/>
        <w:textAlignment w:val="auto"/>
        <w:outlineLvl w:val="0"/>
        <w:rPr>
          <w:rFonts w:hint="eastAsia" w:ascii="方正小标宋简体" w:hAnsi="方正小标宋简体" w:eastAsia="方正小标宋简体" w:cs="方正小标宋简体"/>
          <w:b/>
          <w:bCs/>
          <w:color w:val="auto"/>
          <w:kern w:val="36"/>
          <w:sz w:val="44"/>
          <w:szCs w:val="44"/>
        </w:rPr>
      </w:pPr>
      <w:r>
        <w:rPr>
          <w:rFonts w:hint="eastAsia" w:ascii="方正小标宋简体" w:hAnsi="方正小标宋简体" w:eastAsia="方正小标宋简体" w:cs="方正小标宋简体"/>
          <w:b/>
          <w:bCs/>
          <w:color w:val="auto"/>
          <w:kern w:val="36"/>
          <w:sz w:val="44"/>
          <w:szCs w:val="44"/>
        </w:rPr>
        <w:t>有机衔接的意见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十九大提出，实现小农户和现代农业发展有机衔接。为扶持小农户，提升小农户发展现代农业能力，加快推进农业农村现代化，夯实实施乡村振兴战略的基础，现就促进小农户和现代农业发展有机衔接提出如下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一、重要意义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展多种形式适度规模经营，培育新型农业经营主体，是增加农民收入、提高农业竞争力的有效途径，是建设现代农业的前进方向和必由之路。但也要看到，我国人多地少，各地农业资源禀赋条件差异很大，很多丘陵山区地块零散，不是短时间内能全面实行规模化经营，也不是所有地方都能实现集中连片规模经营。当前和今后很长一个时期，小农户家庭经营将是我国农业的主要经营方式。因此，必须正确处理好发展适度规模经营和扶持小农户的关系。既要把准发展适度规模经营是农业现代化必由之路的前进方向，发挥其在现代农业建设中的引领作用，也要认清小农户家庭经营很长一段时间内是我国农业基本经营形态的国情农情，在鼓励发展多种形式适度规模经营的同时，完善针对小农户的扶持政策，加强面向小农户的社会化服务，把小农户引入现代农业发展轨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（一）促进小农户和现代农业发展有机衔接是巩固完善农村基本经营制度的重大举措。</w:t>
      </w:r>
      <w:r>
        <w:rPr>
          <w:rFonts w:hint="eastAsia" w:ascii="仿宋_GB2312" w:hAnsi="仿宋_GB2312" w:eastAsia="仿宋_GB2312" w:cs="仿宋_GB2312"/>
          <w:color w:val="auto"/>
          <w:sz w:val="32"/>
          <w:szCs w:val="32"/>
        </w:rPr>
        <w:t>小农户是家庭承包经营的基本单元。以家庭承包经营为基础、统分结合的双层经营体制，是我国农村的基本经营制度，需要长期坚持并不断完善。扶持小农户，在坚持家庭经营基础性地位的同时，促进小农户之间、小农户与新型农业经营主体之间开展合作与联合，有利于激发农村基本经营制度的内在活力，是夯实现代农业经营体系的根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（二）促进小农户和现代农业发展有机衔接是推进中国特色农业现代化的必然选择。</w:t>
      </w:r>
      <w:r>
        <w:rPr>
          <w:rFonts w:hint="eastAsia" w:ascii="仿宋_GB2312" w:hAnsi="仿宋_GB2312" w:eastAsia="仿宋_GB2312" w:cs="仿宋_GB2312"/>
          <w:color w:val="auto"/>
          <w:sz w:val="32"/>
          <w:szCs w:val="32"/>
        </w:rPr>
        <w:t>小农户是我国农业生产的基本组织形式，对保障国家粮食安全和重要农产品有效供给具有重要作用。农业农村现代化离不开小农户的现代化。扶持小农户，引入现代生产要素改造小农户，提升农业经营集约化、标准化、绿色化水平，有利于小农户适应和容纳不同生产力水平，在农业现代化过程中不掉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（三）促进小农户和现代农业发展有机衔接是实施乡村振兴战略的客观要求。</w:t>
      </w:r>
      <w:r>
        <w:rPr>
          <w:rFonts w:hint="eastAsia" w:ascii="仿宋_GB2312" w:hAnsi="仿宋_GB2312" w:eastAsia="仿宋_GB2312" w:cs="仿宋_GB2312"/>
          <w:color w:val="auto"/>
          <w:sz w:val="32"/>
          <w:szCs w:val="32"/>
        </w:rPr>
        <w:t>小农户是乡村发展和治理的基础，亿万农民群众是实施乡村振兴战略的主体。精耕细作的小农生产和稳定有序的乡村社会，构成了我国农村独特的生产生活方式。扶持小农户，更好发挥其在稳定农村就业、传承农耕文化、塑造乡村社会结构、保护农村生态环境等方面的重要作用，有利于发挥农业的多种功能，体现乡村的多重价值，为实施乡村振兴战略汇聚起雄厚的群众力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（四）促进小农户和现代农业发展有机衔接是巩固党的执政基础的现实需要。</w:t>
      </w:r>
      <w:r>
        <w:rPr>
          <w:rFonts w:hint="eastAsia" w:ascii="仿宋_GB2312" w:hAnsi="仿宋_GB2312" w:eastAsia="仿宋_GB2312" w:cs="仿宋_GB2312"/>
          <w:color w:val="auto"/>
          <w:sz w:val="32"/>
          <w:szCs w:val="32"/>
        </w:rPr>
        <w:t>小农户是党的重要依靠力量和群众基础。党始终把维护农民群众根本利益、促进农民共同富裕作为出发点和落脚点。扶持小农户，提升小农户生产经营水平，拓宽小农户增收渠道，让党的农村政策的阳光雨露惠及广大小农户，有利于实现好、维护好、发展好广大农民根本利益，让广大农民群众的获得感、幸福感、安全感更加充实、更有保障、更可持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二、总体要求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（一）指导思想。</w:t>
      </w:r>
      <w:r>
        <w:rPr>
          <w:rFonts w:hint="eastAsia" w:ascii="仿宋_GB2312" w:hAnsi="仿宋_GB2312" w:eastAsia="仿宋_GB2312" w:cs="仿宋_GB2312"/>
          <w:color w:val="auto"/>
          <w:sz w:val="32"/>
          <w:szCs w:val="32"/>
        </w:rPr>
        <w:t>以习近平新时代中国特色社会主义思想为指导，全面贯彻党的十九大和十九届二中、三中全会精神，坚持小农户家庭经营为基础与多种形式适度规模经营为引领相协调，坚持农业生产经营规模宜大则大、宜小则小，充分发挥小农户在乡村振兴中的作用，按照服务小农户、提高小农户、富裕小农户的要求，加快构建扶持小农户发展的政策体系，加强农业社会化服务，提高小农户生产经营能力，提升小农户组织化程度，改善小农户生产设施条件，拓宽小农户增收空间，维护小农户合法权益，促进传统小农户向现代小农户转变，让小农户共享改革发展成果，实现小农户与现代农业发展有机衔接，加快推进农业农村现代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——政府扶持、市场引导。充分发挥市场配置资源的决定性作用，更好发挥政府作用。引导小农户土地经营权有序流转，提高小农户经营效率。注重惠农政策的公平性和普惠性，防止人为垒大户，排挤小农户。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——统筹推进、协调发展。统筹兼顾培育新型农业经营主体和扶持小农户，发挥新型农业经营主体对小农户的带动作用，健全新型农业经营主体与小农户的利益联结机制，实现小农户</w:t>
      </w:r>
      <w:r>
        <w:rPr>
          <w:rFonts w:hint="eastAsia" w:ascii="仿宋_GB2312" w:hAnsi="仿宋_GB2312" w:eastAsia="仿宋_GB2312" w:cs="仿宋_GB2312"/>
          <w:color w:val="auto"/>
          <w:spacing w:val="-6"/>
          <w:sz w:val="32"/>
          <w:szCs w:val="32"/>
        </w:rPr>
        <w:t>家庭经营与合作经营、集体经营、企业经营等经营形式共同发展。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地制宜、分类施策。充分考虑各地资源禀赋、经济社会发展和农林牧渔产业差异，顺应小农户分化趋势，鼓励积极探索不同类型小农户发展的路径。不搞一刀切，不搞强迫命令，保持足够历史耐心，确保我国农业现代化进程走得稳、走得顺、走得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尊重意愿、保护权益。保护小农户生产经营自主权，落实小农户土地承包权、宅基地使用权、集体收益分配权，激发小农户生产经营的积极性、主动性、创造性，使小农户成为发展现代农业的积极参与者和直接受益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三、提升小农户发展能力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（一）启动家庭农场培育计划。</w:t>
      </w:r>
      <w:r>
        <w:rPr>
          <w:rFonts w:hint="eastAsia" w:ascii="仿宋_GB2312" w:hAnsi="仿宋_GB2312" w:eastAsia="仿宋_GB2312" w:cs="仿宋_GB2312"/>
          <w:color w:val="auto"/>
          <w:sz w:val="32"/>
          <w:szCs w:val="32"/>
        </w:rPr>
        <w:t>采取优先承租流转土地、提供贴息贷款、加强技术服务等方式，鼓励有长期稳定务农意愿的小农户稳步扩大规模，培育一批规模适度、生产集约、管理先进、效益明显的农户家庭农场。鼓励各地通过发放良技良艺良法应用补贴、支持农户家庭农场优先承担涉农建设项目等方式，引导农户家庭农场采用先进科技和生产力手段。指导农户家庭农场开展标准化生产，建立可追溯生产记录，加强记账管理，提升经营管理水平。完善名录管理、示范创建、职业培训等扶持政策，促进农户家庭农场健康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（二）实施小农户能力提升工程。</w:t>
      </w:r>
      <w:r>
        <w:rPr>
          <w:rFonts w:hint="eastAsia" w:ascii="仿宋_GB2312" w:hAnsi="仿宋_GB2312" w:eastAsia="仿宋_GB2312" w:cs="仿宋_GB2312"/>
          <w:color w:val="auto"/>
          <w:sz w:val="32"/>
          <w:szCs w:val="32"/>
        </w:rPr>
        <w:t>以提供补贴为杠杆，鼓励小农户接受新技术培训。支持各地采取农民夜校、田间学校等适合小农户的培训形式，开展种养技术、经营管理、农业面源污染治理、乡风文明、法律法规等方面的培训。新型职业农民培育工程和新型农业经营主体培育工程要将小农户作为重点培训对象，帮助小农户发展成为新型职业农民。涉农职业院校等教育培训机构要发挥专业优势，优先做好农村实用人才带头人示范培训。鼓励各地通过补贴学费等方式，引导各类社会组织向小农户提供技术培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（三）加强小农户科技装备应用。</w:t>
      </w:r>
      <w:r>
        <w:rPr>
          <w:rFonts w:hint="eastAsia" w:ascii="仿宋_GB2312" w:hAnsi="仿宋_GB2312" w:eastAsia="仿宋_GB2312" w:cs="仿宋_GB2312"/>
          <w:color w:val="auto"/>
          <w:sz w:val="32"/>
          <w:szCs w:val="32"/>
        </w:rPr>
        <w:t>加快研发经济作物、养殖业、丘陵山区适用机具和设施装备，推广应用面向小农户的实用轻简型装备和技术。建立健全农业农村社会化服务体系，实施科技服务小农户行动，支持小农户运用优良品种、先进技术、物质装备等发展智慧农业、设施农业、循环农业等现代农业。引导农业科研机构、涉农高校、农业企业、科技特派员到农业生产一线建立农业试验示范基地，鼓励农业科研人员、农业技术推广人员通过下乡指导、技术培训、定向帮扶等方式，向小农户集成示范推广先进适用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（四）改善小农户生产基础设施。</w:t>
      </w:r>
      <w:r>
        <w:rPr>
          <w:rFonts w:hint="eastAsia" w:ascii="仿宋_GB2312" w:hAnsi="仿宋_GB2312" w:eastAsia="仿宋_GB2312" w:cs="仿宋_GB2312"/>
          <w:color w:val="auto"/>
          <w:sz w:val="32"/>
          <w:szCs w:val="32"/>
        </w:rPr>
        <w:t>鼓励各地通过以奖代补、先建后补等方式，支持村集体组织小农户开展农业基础设施建设和管护。支持各地重点建设小农户急需的通田到地末级灌溉渠道、通村组道路、机耕生产道路、村内道路、农业面源污染治理等设施，合理配置集中仓储、集中烘干、集中育秧等公用设施。加强农业防灾减灾救灾体系建设，提高小农户抗御灾害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四、提高小农户组织化程度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（一）引导小农户开展合作与联合。</w:t>
      </w:r>
      <w:r>
        <w:rPr>
          <w:rFonts w:hint="eastAsia" w:ascii="仿宋_GB2312" w:hAnsi="仿宋_GB2312" w:eastAsia="仿宋_GB2312" w:cs="仿宋_GB2312"/>
          <w:color w:val="auto"/>
          <w:sz w:val="32"/>
          <w:szCs w:val="32"/>
        </w:rPr>
        <w:t>支持小农户通过联户经营、联耕联种、组建合伙农场等方式联合开展生产，共同购置农机、农资，接受统耕统收、统防统治、统销统结等服务，降低生产经营成本。支持小农户在发展休闲农业、开展产品营销等过程中共享市场资源，实现互补互利。引导同一区域同一产业的小农户依法组建产业协会、联合会，共同对接市场，提升市场竞争能力。支持农村集体经济组织和合作经济组织利用土地资源、整合涉农项目资金、提供社会化服务等，引领带动小农户发展现代农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（二）创新合作社组织小农户机制。</w:t>
      </w:r>
      <w:r>
        <w:rPr>
          <w:rFonts w:hint="eastAsia" w:ascii="仿宋_GB2312" w:hAnsi="仿宋_GB2312" w:eastAsia="仿宋_GB2312" w:cs="仿宋_GB2312"/>
          <w:color w:val="auto"/>
          <w:sz w:val="32"/>
          <w:szCs w:val="32"/>
        </w:rPr>
        <w:t>坚持农户成员在合作社中的主体地位，发挥农户成员在合作社中的民主管理、民主监督作用，提升合作社运行质量，让农户成员切实受益。鼓励小农户利用实物、土地经营权、林权等作价出资办社入社，盘活农户资源要素。财政补助资金形成的资产，可以量化到小农户，再作为入社或入股的股份。支持合作社根据小农户生产发展需要，加强农产品初加工、仓储物流、市场营销等关键环节建设，积极发展农户+合作社、农户+合作社+工厂或公司等模式。健全盈余分配机制，可分配盈余按照成员与合作社的交易量（交易额）比例、成员所占出资份额统筹返还，并按规定完成优先支付权益，使小农户共享合作收益。扶持农民用水合作组织多元化创新发展。支持合作社依法自愿组建联合社，提升小农户合作层次和规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（三）发挥龙头企业对小农户带动作用。</w:t>
      </w:r>
      <w:r>
        <w:rPr>
          <w:rFonts w:hint="eastAsia" w:ascii="仿宋_GB2312" w:hAnsi="仿宋_GB2312" w:eastAsia="仿宋_GB2312" w:cs="仿宋_GB2312"/>
          <w:color w:val="auto"/>
          <w:sz w:val="32"/>
          <w:szCs w:val="32"/>
        </w:rPr>
        <w:t>完善农业产业化带农惠农机制，支持龙头企业通过订单收购、保底分红、二次返利、股份合作、吸纳就业、村企对接等多种形式带动小农户共同发展。鼓励龙头企业通过公司+农户、公司+农民合作社+农户等方式，延长产业链、保障供应链、完善利益链，将小农户纳入现代农业产业体系。鼓励小农户以土地经营权、林权等入股龙头企业并采取特殊保护，探索实行农民负盈不负亏的分配机制。鼓励和支持发展农业产业化联合体，通过统一生产、统一营销、信息互通、技术共享、品牌共创、融资担保等方式，与小农户形成稳定利益共同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五、拓展小农户增收空间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（一）支持小农户发展特色优质农产品。</w:t>
      </w:r>
      <w:r>
        <w:rPr>
          <w:rFonts w:hint="eastAsia" w:ascii="仿宋_GB2312" w:hAnsi="仿宋_GB2312" w:eastAsia="仿宋_GB2312" w:cs="仿宋_GB2312"/>
          <w:color w:val="auto"/>
          <w:sz w:val="32"/>
          <w:szCs w:val="32"/>
        </w:rPr>
        <w:t>引导小农户拓宽经营思路，依靠产品品质和特色提高自身竞争力。各地要结合特色优势农产品区域布局，紧盯市场需求，深挖当地特色优势资源潜力，引导小农户发展地方优势特色产业，形成一村一品、一乡一特、一县一业。探索建立农业产业到户机制，制订“菜单式”产业项目清单，指导小农户自主选择。支持小农户发挥精耕细作优势，引入现代经营管理理念和先进适用技术装备，发展劳动密集化程度高、技术集约化程度高、生产设施化程度高的园艺、养殖等产业，实现小规模基础上的高产出高效益。引导小农户发展高品质农业、绿色生态农业，开展标准化生产、专业化经营，推进种养循环、农牧结合，生产高附加值农产品。实施小农户发展有机农业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（二）带动小农户发展新产业新业态。</w:t>
      </w:r>
      <w:r>
        <w:rPr>
          <w:rFonts w:hint="eastAsia" w:ascii="仿宋_GB2312" w:hAnsi="仿宋_GB2312" w:eastAsia="仿宋_GB2312" w:cs="仿宋_GB2312"/>
          <w:color w:val="auto"/>
          <w:sz w:val="32"/>
          <w:szCs w:val="32"/>
        </w:rPr>
        <w:t>大力拓展农业功能，推进农业与旅游、文化、生态等产业深度融合，让小农户分享二三产业增值收益。加强技术指导、创业孵化、产权交易等公共服务，完善配套设施，提高小农户发展新产业新业态能力。支持小农户发展康养农业、创意农业、休闲农业及农产品初加工、农村电商等，延伸产业链和价值链。开展电商服务小农户专项行动。支持小农户利用自然资源、文化遗产、闲置农房等发展观光旅游、餐饮民宿、养生养老等项目，拓展增收渠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（三）鼓励小农户创业就业。</w:t>
      </w:r>
      <w:r>
        <w:rPr>
          <w:rFonts w:hint="eastAsia" w:ascii="仿宋_GB2312" w:hAnsi="仿宋_GB2312" w:eastAsia="仿宋_GB2312" w:cs="仿宋_GB2312"/>
          <w:color w:val="auto"/>
          <w:sz w:val="32"/>
          <w:szCs w:val="32"/>
        </w:rPr>
        <w:t>鼓励有条件的地方构建市场准入、资金支持、金融保险、用地用电、创业培训、产业扶持等相互协同的政策体系，支持小农户结合自身优势和特长在农村创业创新。健全就业服务体系，扩大农村劳动力转移就业渠道，鼓励农村劳动力就地就近就业，支持农村劳动力进入二三产业就业。支持小农户在家庭种养基础上，通过发展特色手工和乡村旅游等，实现家庭生产的多业经营、综合创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六、健全面向小农户的社会化服务体系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（一）发展农业生产性服务业。</w:t>
      </w:r>
      <w:r>
        <w:rPr>
          <w:rFonts w:hint="eastAsia" w:ascii="仿宋_GB2312" w:hAnsi="仿宋_GB2312" w:eastAsia="仿宋_GB2312" w:cs="仿宋_GB2312"/>
          <w:color w:val="auto"/>
          <w:sz w:val="32"/>
          <w:szCs w:val="32"/>
        </w:rPr>
        <w:t>大力培育适应小农户需求的多元化多层次农业生产性服务组织，促进专项服务与综合服务相互补充、协调发展，积极拓展服务领域，重点发展小农户急需的农资供应、绿色生产技术、农业废弃物资源化利用、农机作业、农产品初加工等服务领域。搭建区域农业生产性服务综合平台。创新农业技术推广服务机制，促进公益性农技推广机构与经营性服务组织融合发展，为小农户提供多形式技术指导服务。探索通过政府购买服务等方式，为小农户提供生产公益性服务。鼓励和支持农垦企业、供销合作社组织实施农业社会化服务惠农工程，发挥自身组织优势，通过多种方式服务小农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（二）加快推进农业生产托管服务。</w:t>
      </w:r>
      <w:r>
        <w:rPr>
          <w:rFonts w:hint="eastAsia" w:ascii="仿宋_GB2312" w:hAnsi="仿宋_GB2312" w:eastAsia="仿宋_GB2312" w:cs="仿宋_GB2312"/>
          <w:color w:val="auto"/>
          <w:sz w:val="32"/>
          <w:szCs w:val="32"/>
        </w:rPr>
        <w:t>创新农业生产服务方式，适应不同地区不同产业小农户的农业作业环节需求，发展单环节托管、多环节托管、关键环节综合托管和全程托管等多种托管模式。支持农村集体经济组织、供销合作社专业化服务组织、服务型农民合作社等服务主体，面向从事粮棉油糖等大宗农产品生产的小农户开展托管服务。鼓励各地因地制宜选择本地优先支持的托管作业环节，不断提升农业生产托管对小农户服务的覆盖率。加强农业生产托管的服务标准建设、服务价格指导、服务质量监测、服务合同监管，促进农业生产托管规范发展。实施小农户生产托管服务促进工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（三）推进面向小农户产销服务。</w:t>
      </w:r>
      <w:r>
        <w:rPr>
          <w:rFonts w:hint="eastAsia" w:ascii="仿宋_GB2312" w:hAnsi="仿宋_GB2312" w:eastAsia="仿宋_GB2312" w:cs="仿宋_GB2312"/>
          <w:color w:val="auto"/>
          <w:sz w:val="32"/>
          <w:szCs w:val="32"/>
        </w:rPr>
        <w:t>推进农超对接、农批对接、农社对接，支持各地开展多种形式的农产品产销对接活动，拓展小农户营销渠道。实施供销、邮政服务带动小农户工程。完善农产品物流服务，支持建设面向小农户的农产品贮藏保鲜设施、田头市场、批发市场等，加快建设农产品冷链运输、物流网络体系，建立产销密切衔接、长期稳定的农产品流通渠道。打造一批竞争力较强、知名度较高的特色农业品牌和区域公用品牌，让小农户分享品牌增值收益。加大对贫困地区农产品产销对接扶持力度，扩大贫困地区特色农产品营销促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（四）实施互联网+小农户计划。</w:t>
      </w:r>
      <w:r>
        <w:rPr>
          <w:rFonts w:hint="eastAsia" w:ascii="仿宋_GB2312" w:hAnsi="仿宋_GB2312" w:eastAsia="仿宋_GB2312" w:cs="仿宋_GB2312"/>
          <w:color w:val="auto"/>
          <w:sz w:val="32"/>
          <w:szCs w:val="32"/>
        </w:rPr>
        <w:t>加快农业大数据、物联网、移动互联网、人工智能等技术向小农户覆盖，提升小农户手机、互联网等应用技能，让小农户搭上信息化快车。推进信息进村入户工程，建设全国信息进村入户平台，为小农户提供便捷高效的信息服务。鼓励发展互联网云农场等模式，帮助小农户合理安排生产计划、优化配置生产要素。发展农村电子商务，鼓励小农户开展网络购销对接，促进农产品流通线上线下有机结合。深化电商扶贫频道建设，开展电商扶贫品牌推介活动，推动贫困地区农特产品与知名电商企业对接。支持培育一批面向小农户的信息综合服务企业和信息应用主体，为小农户提供定制化、专业化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（五）提升小城镇服务小农户功能。</w:t>
      </w:r>
      <w:r>
        <w:rPr>
          <w:rFonts w:hint="eastAsia" w:ascii="仿宋_GB2312" w:hAnsi="仿宋_GB2312" w:eastAsia="仿宋_GB2312" w:cs="仿宋_GB2312"/>
          <w:color w:val="auto"/>
          <w:sz w:val="32"/>
          <w:szCs w:val="32"/>
        </w:rPr>
        <w:t>实施以镇带村、以村促镇的镇村融合发展模式，将小农户生产逐步融入区域性产业链和生产网络。引导农产品加工等相关产业向小城镇、产业园区适度集中，强化规模经济效应，逐步形成带动小农户生产的现代农业产业集群。鼓励在小城镇建设返乡创业园、创业孵化基地等，为小农户创新创业提供多元化、高质量的空间载体。提升小城镇服务农资农技、农产品交易等功能，合理配置集贸市场、物流集散地、农村电商平台等设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七、完善小农户扶持政策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（一）稳定完善小农户土地政策。</w:t>
      </w:r>
      <w:r>
        <w:rPr>
          <w:rFonts w:hint="eastAsia" w:ascii="仿宋_GB2312" w:hAnsi="仿宋_GB2312" w:eastAsia="仿宋_GB2312" w:cs="仿宋_GB2312"/>
          <w:color w:val="auto"/>
          <w:sz w:val="32"/>
          <w:szCs w:val="32"/>
        </w:rPr>
        <w:t>保持土地承包关系稳定并长久不变，衔接落实好第二轮土地承包到期后再延长三十年的政策。建立健全农村土地承包经营权登记制度，为小农户“确实权、颁铁证”。在有条件的村组，结合高标准农田建设等，引导小农户自愿通过村组内互换并地、土地承包权退出等方式，促进土地小块并大块，引导逐步形成一户一块田。落实农村承包地所有权、承包权、经营权“三权”分置办法，保护小农户土地承包权益，及时调处流转纠纷，依法稳妥规范推进农村承包土地经营权抵押贷款业务，鼓励小农户参与土地资源配置并分享土地规模经营收益。规范土地流转交易，建立集信息发布、租赁合同网签、土地整治、项目设计等功能于一体的综合性土地流转管理服务组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（二）强化小农户支持政策。</w:t>
      </w:r>
      <w:r>
        <w:rPr>
          <w:rFonts w:hint="eastAsia" w:ascii="仿宋_GB2312" w:hAnsi="仿宋_GB2312" w:eastAsia="仿宋_GB2312" w:cs="仿宋_GB2312"/>
          <w:color w:val="auto"/>
          <w:sz w:val="32"/>
          <w:szCs w:val="32"/>
        </w:rPr>
        <w:t>对新型农业经营主体的评优创先、政策扶持、项目倾斜等，要与带动小农生产挂钩，把带动小农户数量和成效作为重要依据。充分发挥财政杠杆作用，鼓励各地采取贴息、奖补、风险补偿等方式，撬动社会资本投入农业农村，带动小农户发展现代农业。对于财政支农项目投入形成的资产，鼓励具备条件的地方折股量化给小农户特别是贫困农户，让小农户享受分红收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（三）健全针对小农户补贴机制。</w:t>
      </w:r>
      <w:r>
        <w:rPr>
          <w:rFonts w:hint="eastAsia" w:ascii="仿宋_GB2312" w:hAnsi="仿宋_GB2312" w:eastAsia="仿宋_GB2312" w:cs="仿宋_GB2312"/>
          <w:color w:val="auto"/>
          <w:sz w:val="32"/>
          <w:szCs w:val="32"/>
        </w:rPr>
        <w:t>稳定现有对小农生产的普惠性补贴政策，创新补贴形式，提高补贴效率。完善粮食等重要农产品生产者补贴制度。鼓励各地对小农户参与生态保护实行补偿，支持小农户参与耕地草原森林河流湖泊休养生息等，对发展绿色生态循环农业、保护农业资源环境的小农户给予合理补偿。健全小农户生产技术装备补贴机制，按规定加大对丘陵山区小型农机具购置补贴力度。鼓励各地对小农户托管土地给予费用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（四）提升金融服务小农户水平。</w:t>
      </w:r>
      <w:r>
        <w:rPr>
          <w:rFonts w:hint="eastAsia" w:ascii="仿宋_GB2312" w:hAnsi="仿宋_GB2312" w:eastAsia="仿宋_GB2312" w:cs="仿宋_GB2312"/>
          <w:color w:val="auto"/>
          <w:sz w:val="32"/>
          <w:szCs w:val="32"/>
        </w:rPr>
        <w:t>发展农村普惠金融，健全小农户信用信息征集和评价体系，探索完善无抵押、无担保的小农户小额信用贷款政策，不断提升小农户贷款覆盖面，切实加大对小农户生产发展的信贷支持。支持农村商业银行、农村合作银行、村镇银行等农村中小金融机构立足县域，加大服务小农户力度。支持农村合作金融规范发展，扶持农村资金互助组织，通过试点稳妥开展农民合作社内部信用合作。鼓励产业链金融、互联网金融在依法合规前提下为小农户提供金融服务。鼓励发展为小农户服务的小额贷款机构，开发专门的信贷产品。加大支农再贷款支持力度，引导金融机构增加小农户信贷投放。鼓励银行业金融机构在风险可控和商业可持续的前提下扩大农业农村贷款抵押物范围，提高小农户融资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（五）拓宽小农户农业保险覆盖面。</w:t>
      </w:r>
      <w:r>
        <w:rPr>
          <w:rFonts w:hint="eastAsia" w:ascii="仿宋_GB2312" w:hAnsi="仿宋_GB2312" w:eastAsia="仿宋_GB2312" w:cs="仿宋_GB2312"/>
          <w:color w:val="auto"/>
          <w:sz w:val="32"/>
          <w:szCs w:val="32"/>
        </w:rPr>
        <w:t>建立健全农业保险保障体系，从覆盖直接物化成本逐步实现覆盖完全成本。发展与小农户生产关系密切的农作物保险、主要畜产品保险、重要“菜篮子”品种保险和森林保险，推广农房、农机具、设施农业、渔业、制种等保险品种。推进价格保险、收入保险、天气指数保险试点。鼓励地方建立特色优势农产品保险制度。鼓励发展农业互助保险。建立第三方灾害损失评估、政府监督理赔机制，确保受灾农户及时足额得到赔付。加大针对小农户农业保险保费补贴力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八、保障措施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（一）加强组织领导。</w:t>
      </w:r>
      <w:r>
        <w:rPr>
          <w:rFonts w:hint="eastAsia" w:ascii="仿宋_GB2312" w:hAnsi="仿宋_GB2312" w:eastAsia="仿宋_GB2312" w:cs="仿宋_GB2312"/>
          <w:color w:val="auto"/>
          <w:sz w:val="32"/>
          <w:szCs w:val="32"/>
        </w:rPr>
        <w:t>各级党委和政府既要注重培育新型农业经营主体，又要重视发挥好小农户在农业农村现代化中的作用，把贯彻落实扶持引导小农户政策和培育新型农业经营主体政策共同作为农村基层工作的重要方面，在政策制定、工作部署、财力投放等各个方面加大工作力度，齐头并进，确保各项政策落到实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（二）强化统筹协调。</w:t>
      </w:r>
      <w:r>
        <w:rPr>
          <w:rFonts w:hint="eastAsia" w:ascii="仿宋_GB2312" w:hAnsi="仿宋_GB2312" w:eastAsia="仿宋_GB2312" w:cs="仿宋_GB2312"/>
          <w:color w:val="auto"/>
          <w:sz w:val="32"/>
          <w:szCs w:val="32"/>
        </w:rPr>
        <w:t>农业农村部门要发挥牵头组织作用，各地区各有关部门要加强协作配合，完善工作机制，形成工作合力。将推进扶持小农户发展与实施乡村振兴战略、打赢脱贫攻坚战统筹安排，推动各项工作做实做细。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（三）注重宣传指导。</w:t>
      </w:r>
      <w:r>
        <w:rPr>
          <w:rFonts w:hint="eastAsia" w:ascii="仿宋_GB2312" w:hAnsi="仿宋_GB2312" w:eastAsia="仿宋_GB2312" w:cs="仿宋_GB2312"/>
          <w:color w:val="auto"/>
          <w:sz w:val="32"/>
          <w:szCs w:val="32"/>
        </w:rPr>
        <w:t>做好政策宣传，加强调查研究，及时掌握小农户发展的新情况新问题，系统总结小农户与现代农业发展有机衔接的新经验新做法新模式，营造促进小农户健康发展的良好氛围。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农业农村部门要会同有关部门，对本意见实施落实情况进行跟踪分析和评估，重要工作进展情况及时向党中央、国务院报告。</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0" w:afterAutospacing="0" w:line="240" w:lineRule="exact"/>
        <w:ind w:left="0" w:right="0"/>
        <w:jc w:val="center"/>
        <w:textAlignment w:val="auto"/>
        <w:outlineLvl w:val="9"/>
        <w:rPr>
          <w:rFonts w:hint="eastAsia" w:ascii="方正小标宋简体" w:hAnsi="方正小标宋简体" w:eastAsia="方正小标宋简体" w:cs="方正小标宋简体"/>
          <w:b/>
          <w:color w:val="auto"/>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2019年版《中国共产党问责条例》学习汇报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鲍宏礼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（2019年10月10日）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楷体_GB2312" w:hAnsi="楷体_GB2312" w:eastAsia="楷体_GB2312" w:cs="楷体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2016年7月8日，中共中央印发了《中国共产党问责条例》。这就是2016年版《问责条例》。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2019年1月11日，十九届中央纪委三次全会召开，习近平总书记发表重要讲话，要求修订《中国共产党问责条例》。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2019年7月30日，习近平总书记主持中央政治局会议，审议了新修订《中国共产党问责条例》。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2019年9月4日，中共中央印发修订后的《中国共产党问责条例》，自2019年9月1日起施行。这就是现行的2019版《问责条例》。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w:t>
      </w:r>
      <w:r>
        <w:rPr>
          <w:rFonts w:hint="eastAsia" w:ascii="黑体" w:hAnsi="黑体" w:eastAsia="黑体" w:cs="黑体"/>
          <w:b/>
          <w:bCs/>
          <w:color w:val="auto"/>
          <w:sz w:val="32"/>
          <w:szCs w:val="32"/>
          <w:lang w:eastAsia="zh-CN"/>
        </w:rPr>
        <w:t>、</w:t>
      </w:r>
      <w:r>
        <w:rPr>
          <w:rFonts w:hint="eastAsia" w:ascii="黑体" w:hAnsi="黑体" w:eastAsia="黑体" w:cs="黑体"/>
          <w:b/>
          <w:bCs/>
          <w:color w:val="auto"/>
          <w:sz w:val="32"/>
          <w:szCs w:val="32"/>
        </w:rPr>
        <w:t>《问责条例》的重要地位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2019年8月30日，习近平总书记主持中央政治局会议，修订了《中国共产党党内法规制定条例》。根据该条例规定，党内法规的名称为党章、准则、条例、规定、办法、规则、细则。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《问责条例》作为“条例”在党内法规中居于重要位置，位阶较高，仅次于党章和准则。其他我们熟知的与我们密切相关的“条例”还有：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《中国共产党普通高等学校基层工作条例》；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《中国共产党党内监督条例》；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《中国共产党巡视工作条例》；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《中国共产党纪律处分条例》等等。从这些条例的名称即可知道，其重要性不言而喻，《问责条例》在党内法规体系中具有重要地位，各级党组织和党员、领导干部必须严格遵照执行。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二</w:t>
      </w:r>
      <w:r>
        <w:rPr>
          <w:rFonts w:hint="eastAsia" w:ascii="黑体" w:hAnsi="黑体" w:eastAsia="黑体" w:cs="黑体"/>
          <w:b/>
          <w:bCs/>
          <w:color w:val="auto"/>
          <w:sz w:val="32"/>
          <w:szCs w:val="32"/>
          <w:lang w:eastAsia="zh-CN"/>
        </w:rPr>
        <w:t>、</w:t>
      </w:r>
      <w:r>
        <w:rPr>
          <w:rFonts w:hint="eastAsia" w:ascii="黑体" w:hAnsi="黑体" w:eastAsia="黑体" w:cs="黑体"/>
          <w:b/>
          <w:bCs/>
          <w:color w:val="auto"/>
          <w:sz w:val="32"/>
          <w:szCs w:val="32"/>
        </w:rPr>
        <w:t>《问责条例》的修订背景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2016年版《问责条例》为党的问责工作提供了制度遵循，成为管党治党的利器，形成了失责必问、问责必严的良好氛围。据统计，仅2018年，全国共有1.3万个单位党委（党组）、党总支、党支部，237个纪委（纪检组），6.1万名党员领导干部被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但是，随着形势任务的发展和问责实践的深化，《问责条例》在实践中存在着不足：问责泛化简单化、“躺着中枪”的职能式问责、“刚播种就要收获”的计时式问责、只为舆情降温的灭火式问责、对困难不闻不问的机械式问责等等。这些都广为诟病。如，2018年8月，安徽省全椒县农村公路局副局长张伟，在晚上19:31分至19:35分期间，因四次未接听省脱贫攻坚巡查组电话，被给予党内警告处分。——这个案例普遍被认为是问责泛化简单化的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此，2016年版的《问责条例》的修订显得十分有必要。这次修订，全面贯彻习近平新时代中国特色社会主义思想和党的十九大精神，以党章为根本遵循，聚焦管党治党政治责任，坚持严字当头，针对实践中出现的问责不力、泛化简单化等问题，着力提高党的问责工作的政治性、精准性、实效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三</w:t>
      </w:r>
      <w:r>
        <w:rPr>
          <w:rFonts w:hint="eastAsia" w:ascii="黑体" w:hAnsi="黑体" w:eastAsia="黑体" w:cs="黑体"/>
          <w:b/>
          <w:bCs/>
          <w:color w:val="auto"/>
          <w:sz w:val="32"/>
          <w:szCs w:val="32"/>
          <w:lang w:eastAsia="zh-CN"/>
        </w:rPr>
        <w:t>、</w:t>
      </w:r>
      <w:r>
        <w:rPr>
          <w:rFonts w:hint="eastAsia" w:ascii="黑体" w:hAnsi="黑体" w:eastAsia="黑体" w:cs="黑体"/>
          <w:b/>
          <w:bCs/>
          <w:color w:val="auto"/>
          <w:sz w:val="32"/>
          <w:szCs w:val="32"/>
        </w:rPr>
        <w:t>《问责条例》的修订内容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2019版《问责条例》共27条，与2016年版比较，新增14条，修改12条。新增和修改条款，表现在五个大的方面：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第一，“严字当头”、压实政治责任，体现有权必有责、有责要担当、失责要追究。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一是明确问责主体。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四条规定党委（党组）履行全面从严治党主体责任，加强对本地区本部门本单位问责工作的领导，追究失职失责党组织和党的领导干部的主体责任、监督责任、领导责任，而不是追究党员领导干部对自己违纪行为的直接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纪委履行监督专责，协助同级党委开展问责工作，纪委派驻（派出）机构按照职责权限开展问责工作；党的工作机关依据职能履行监督职责，实施本机关本系统本领域的问责工作。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这里还有一个“双问责制”问题。《问责条例》第六条第二款规定，对党组织问责的，应当同时对该党组织中负有责任的领导班子成员进行问责。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二是强化领导监督。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九条明确了纪委、党的工作机关启动问责调查、作出问责决定等有关事项应当报经同级党委或者其主要负责人批准的情形；规定对于应当启动问责调查未及时启动的，上级党组织应当责令有管理权限的党组织启动，根据问题性质或者工作需要，上级党组织可以直接启动问责调查，也可以指定其他党组织启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第二，丰富问责情形。《问责条例》第七条将原有的6大类问责情形修改为11大类。修改后的问责情形涵盖了党的领导、党的建设和党的事业各个方面。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一是尊崇、维护党章，拓展党的建设缺失情形。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七条第二至七款围绕新时代党的建设总要求，对维护党的纪律不力等情形进行细化，具体明确为党的政治建设抓得不实、党的思想建设缺失、党的组织建设薄弱、党的作风建设松懈、党的纪律建设抓得不严以及推进党风廉政建设和反腐败斗争不坚决、不扎实等问责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如，不遵守重大事项请示报告制度、党的政治建设工作责任制落实不到位（第七条第二款）、理想信念宗旨教育流于形式、意识形态工作责任制落实不到位（第七条第三款）、不执行领导班子议事决策规则、不执行民主生活会、“三会一课”等组织生活制度、领导干部报告个人事项执行不力（第七条第四款）、落实中央八项规定及其实施细则精神不力（第七条第五款）、维护党的纪律不力导致违规违纪行为多发（第七条第六款）、推进党风廉政建设和反腐败斗争不坚决、不扎实（第七条第七款）等，都列入了问责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二是修改完善“两个责任”落实不到位情形。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《问责条例》第七条第八款根据形势任务和实践发展，对原有的党的领导弱化、全面从严治党主体责任监督责任落实不到位等问责情形，进行了修改完善。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如，好人主义盛行、该发现的问题没有发现、发现问题不报告、不处置、落实巡视整改要求走过场、不到位、该问责不问责等，都列入了问责情形。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三是落实以人民为中心的要求。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《问责条例》第七条第九至十款增加了履行管理监督职责不力，在涉及人民群众最关心最直接最现实的利益问题上不作为、乱作为、慢作为、假作为等问责情形。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如，职责范围内发生重特大生产安全事故、群体性事件、公共安全事件，群众身边腐败问题和作风问题严重等，都列入了问责情形。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刚才，从整体上为各位领导一起梳理了十个方面的问责情形，加上其他情形，一共是十一种问责情形。下面结合《问责条例》的具体问责情形，介绍几个典型案例。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第七条第二款：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政治建设抓得不实，在重大原则问题上未能同党中央保持一致，贯彻落实党的路线方针政策和执行党中央重大决策部署不力，不遵守重大事项请示报告制度，有令不行、有禁不止，阳奉阴违、欺上瞒下，团团伙伙、拉帮结派问题突出，党内政治生活不严肃不健康，党的政治建设工作责任制落实不到位，造成严重后果或者恶劣影响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典型案例之一：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2018年2月，中央宣传部原副部长、中央网信办原主任鲁炜严重违纪被开除党籍和公职。在鲁炜的违纪行为中，首要一项便是严重违反政治纪律和政治规矩。据通报，鲁炜阳奉阴违、欺骗中央，目无规矩、肆意妄为，妄议中央，干扰中央巡视，野心膨胀，公器私用，不择手段为个人造势，品行恶劣、匿名诬告他人，拉帮结派、搞“小圈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第七条第三款：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党的思想建设缺失，党性教育特别是理想信念宗旨教育流于形式，意识形态工作责任制落实不到位，造成严重后果或者恶劣影响的；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典型案例之二：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2018年10月，在天津滨海高新技术产业开发区某论坛举办过程中，高新区工委宣传部未按照规定对论坛活动履行审批程序，未对主讲人进行严格核查，未对现场进行有效管控，导致出现错误言论，造成恶劣影响。高新区工委巡视员、副书记张世军负责宣传工作，本应严格落实意识形态工作责任制，把好导向、守住阵地、管好队伍，但却重视不够、履职不力，对意识形态阵地失察失管。2019年2月，张世军受到党内警告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第七条第四款：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组织建设薄弱，党建工作责任制不落实，严重违反民主集中制原则，不执行领导班子议事决策规则，民主生活会、“三会一课”等党的组织生活制度不执行，领导干部报告个人有关事项制度执行不力，党组织软弱涣散，违规选拔任用干部等问题突出，造成恶劣影响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典型案例之三：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长江大学新农村发展研究院常务副院长郝勇，违反民主集中制原则，违反议事规则，个人决定重大问题，2017年10月长江大学纪委给予党内严重警告处分。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第七条第五款：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作风建设松懈，落实中央八项规定及其实施细则精神不力，“四风”问题得不到有效整治，形式主义、官僚主义问题突出，执行党中央决策部署表态多调门高、行动少落实差，脱离实际、脱离群众，拖沓敷衍、推诿扯皮，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典型案例之四：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甘肃省委原书记王三运在督查调研祁连山生态保护工作时，每到一地都反复强调环保问题的极端重要性，提起要求来“口号响当当”，但就是没有下文。表面上，王三运摆了姿态，但其实对中央指示消极应付，并没有真正到问题严重的地区去调查研究，也没有认真督促相关部门抓好整改落实，更没有对相关领导干部进行严肃问责。正如王三运自己所言：形式表面的东西，反正该做的批示我也批了，该开的会我开了，至于下面落实不落实，能不能很好落实，也没有加强对各方面的引导和督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第七条第六款：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党的纪律建设抓得不严，维护党的政治纪律、组织纪律、廉洁纪律、群众纪律、工作纪律、生活纪律不力，导致违规违纪行为多发，造成恶劣影响的；</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典型案例之五：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天津市农村工作委员会种植业管理办公室原党委书记项荣，因落实管党治党主体责任不力、本单位违规违纪问题多发频发被问责。2016年9月以来，该单位及所属事业单位共有8名正处级领导干部、3名副处级干部因违反中央八项规定精神、违反财经纪律等，受到党纪政纪处分和组织处理。项荣作为党委主要负责同志，落实全面从严治党主体责任不力，贯彻党风廉政建设责任制不到位，导致本单位违规违纪问题多发频发，失职失责，被免去党委书记职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第三，规范问责程序。从2016年版《问责条例》实施3年来的实践看，总体是好的，但也出现了问责不规范、问责泛化简单化的问题。针对这些问题， 新《问责条例》就问责程序作出了规定，提高制度化、规范化水平，把问责权力关进制度笼子，实现精准科学问责。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一是规范问责流程。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《问责条例》第九至十条从启动、调查、报告、审批、实施等各个环节对问责工作予以全面规范，规定启动问责调查和作出问责决定应当履行严格的审批程序。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二是明确问责标准。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《问责条例》第十条强调问责要做到事实清楚、证据确凿、依据充分、责任分明、程序合规、处理恰当。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三是提出具体要求。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十一条规定要依规依纪依法开展调查，问责事实材料应当与调查对象见面，听取其陈述和申辩；调查结束后应当集体研究形成调查报告，综合考虑主客观因素，正确区分不同情况，精准提出处理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四是强化问责执行。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《问责条例》第十三条规定问责决定作出后，应当及时宣布并督促执行，建立健全典型问责问题通报曝光制度，加强督促检查，推动以案促改。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第四，防止问责泛化。纠正实践中出现的问责泛化、简单化问题，《问责条例》还从两个方面作出有针对性的规定：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一是分清责任。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《问责条例》第三条增加“权责一致、错责相当” “集体决定、分清责任”等作为问责原则，明确了有多大的权，负多大的责；有多大的错，负多大的责。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《问责条例》第五条进一步明确了问责对象是党组织、党的领导干部，重点是党委（党组）、党的工作机关及其领导成员，纪委、纪委派驻（派出）机构及其领导成员。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《问责条例》第六条对于党组织领导班子、领导班子主要负责人和直接主管的班子成员、参与决策和工作的班子成员的责任作了进一步划分，分别界定为全面领导责任、主要领导责任和重要领导责任。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二是纠正机制。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有的部门在问责实践中存在的只问责不负责、滥用问责、向下推责等问题，《问责条例》第二十条明确了问责对象申诉的权利及程序：问责对象对问责决定不服的，可以自收到问责决定之日起1个月内，向作出问责决定的党组织提出书面申诉。作出问责决定的党组织接到书面申诉后，应当在1个月内作出申诉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二十一条规定问责决定作出后，发现问责事实认定不清楚、证据不确凿、依据不充分、责任不清晰、程序不合规、处理不恰当或其他不应当问责、不精准问责的，及时予以纠正；对滥用问责或者在问责工作中严重不负责任的严肃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第五，规定特殊情形。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施问责的最终目的，是要督促党组织和领导干部强化责任意识，激发担当精神，而不是要束缚干部手脚。新修订的《问责条例》坚持严管和厚爱结合、激励和约束并重，惩前毖后、治病救人，既严肃问责、严格问责，推动责任落实，又规范问责、精准问责，区别情况、体现政策、分类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一是坚持失责必问、问责必严。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是谁的责任就问谁的责任，该追究到哪一级的责任就追究到哪一级，该问到什么程度就问到什么程度，该采取什么问责方式就采取什么问责方式。《条例》第十六条规定，实行终身问责制，对失职失责性质恶劣、后果严重的，不论其责任人是否调离转岗、提拔或者退休等，都应当严肃问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二是落实“三个区分开来”要求。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根据《关于进一步激励广大干部新时代新担当新作为的意见》《关于贯彻习近平总书记重要批示精神 深入落实中央八项规定精神的工作意见》，把“三个区分开来”的要求具体化。《问责条例》第十七条规定，对于在推进改革中因缺乏经验、先行先试出现的失误，尚无明确限制的探索性试验中的失误，为推动发展的无意过失等情形可以不予问责或者免予问责，营造干事创业敢担当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坚持严管和厚爱结合，激励和约束并重原则， 规定了从轻减轻问责和从重加重问责的情形，做到宽严相济，正确区分不同情况，精准、恰当问责。《问责条例》第十八条规定，及时采取补救措施，有效挽回损失或者消除不良影响等情形可以从轻或者减轻问责；《问责条例》第十九条规定，对党中央、上级党组织三令五申的指示要求不执行或者执行不力、在接受问责调查和处理中，不如实报告情况，推卸责任，阻扰问责等情形，规定应当从重或者加重问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三是树立鲜明的干事导向。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《问责条例》第二十二条规定要正确对待被问责干部，对影响期满、表现好的干部，符合条件的，按照干部选拔任用有关规定正常使用。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bCs/>
          <w:color w:val="auto"/>
          <w:sz w:val="32"/>
          <w:szCs w:val="32"/>
        </w:rPr>
        <w:t>第十条</w:t>
      </w:r>
      <w:r>
        <w:rPr>
          <w:rFonts w:hint="eastAsia" w:ascii="仿宋_GB2312" w:hAnsi="仿宋_GB2312" w:eastAsia="仿宋_GB2312" w:cs="仿宋_GB2312"/>
          <w:color w:val="auto"/>
          <w:sz w:val="32"/>
          <w:szCs w:val="32"/>
        </w:rPr>
        <w:t>　党员受到警告处分一年内、受到严重警告处分一年半内，不得在党内提升职务和向党外组织推荐担任高于其原任职务的党外职务。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bCs/>
          <w:color w:val="auto"/>
          <w:sz w:val="32"/>
          <w:szCs w:val="32"/>
        </w:rPr>
        <w:t>第十一条</w:t>
      </w:r>
      <w:r>
        <w:rPr>
          <w:rFonts w:hint="eastAsia" w:ascii="仿宋_GB2312" w:hAnsi="仿宋_GB2312" w:eastAsia="仿宋_GB2312" w:cs="仿宋_GB2312"/>
          <w:color w:val="auto"/>
          <w:sz w:val="32"/>
          <w:szCs w:val="32"/>
        </w:rPr>
        <w:t xml:space="preserve">  党员受到撤销党内职务处分，或者依照前款规定受到严重警告处分的，二年内不得在党内担任和向党外组织推荐担任与其原任职务相当或者高于其原任职务的职务。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bCs/>
          <w:color w:val="auto"/>
          <w:sz w:val="32"/>
          <w:szCs w:val="32"/>
        </w:rPr>
        <w:t xml:space="preserve">第十二条 </w:t>
      </w:r>
      <w:r>
        <w:rPr>
          <w:rFonts w:hint="eastAsia" w:ascii="仿宋_GB2312" w:hAnsi="仿宋_GB2312" w:eastAsia="仿宋_GB2312" w:cs="仿宋_GB2312"/>
          <w:color w:val="auto"/>
          <w:sz w:val="32"/>
          <w:szCs w:val="32"/>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bCs/>
          <w:color w:val="auto"/>
          <w:sz w:val="32"/>
          <w:szCs w:val="32"/>
        </w:rPr>
        <w:t>第十三条</w:t>
      </w:r>
      <w:r>
        <w:rPr>
          <w:rFonts w:hint="eastAsia" w:ascii="仿宋_GB2312" w:hAnsi="仿宋_GB2312" w:eastAsia="仿宋_GB2312" w:cs="仿宋_GB2312"/>
          <w:color w:val="auto"/>
          <w:sz w:val="32"/>
          <w:szCs w:val="32"/>
        </w:rPr>
        <w:t>　党员受到开除党籍处分，五年内不得重新入党，也不得推荐担任与其原任职务相当或者高于其原任职务的党外职务。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之，《问责条例》通过着力提高党的问责的政治性、精准性、实效性，树立鲜明的干事创业导向，促进各级党组织和领导干部牢记初心使命、勇于担当作为，努力形成建功新时代、争创新业绩的浓厚氛围和生动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1417"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楷体_GB2312">
    <w:panose1 w:val="02010609030101010101"/>
    <w:charset w:val="86"/>
    <w:family w:val="auto"/>
    <w:pitch w:val="default"/>
    <w:sig w:usb0="00000001" w:usb1="080E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BBDDEF"/>
    <w:multiLevelType w:val="singleLevel"/>
    <w:tmpl w:val="E5BBDDE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64F43"/>
    <w:rsid w:val="00870B98"/>
    <w:rsid w:val="008B1178"/>
    <w:rsid w:val="01F259EF"/>
    <w:rsid w:val="01F359EF"/>
    <w:rsid w:val="02793E12"/>
    <w:rsid w:val="032870E9"/>
    <w:rsid w:val="04116D6B"/>
    <w:rsid w:val="044902E5"/>
    <w:rsid w:val="076E7537"/>
    <w:rsid w:val="084E54D4"/>
    <w:rsid w:val="089B7430"/>
    <w:rsid w:val="08C9404B"/>
    <w:rsid w:val="092A13A7"/>
    <w:rsid w:val="0BC9503A"/>
    <w:rsid w:val="0CF40060"/>
    <w:rsid w:val="0DB254FB"/>
    <w:rsid w:val="0F3361F3"/>
    <w:rsid w:val="124A03DE"/>
    <w:rsid w:val="13A60677"/>
    <w:rsid w:val="14856FBC"/>
    <w:rsid w:val="14C81A2F"/>
    <w:rsid w:val="14E0717D"/>
    <w:rsid w:val="157444F7"/>
    <w:rsid w:val="164615A1"/>
    <w:rsid w:val="1775127D"/>
    <w:rsid w:val="181B07E1"/>
    <w:rsid w:val="1AB667B9"/>
    <w:rsid w:val="1BD370C6"/>
    <w:rsid w:val="1C82223D"/>
    <w:rsid w:val="1EE07EB9"/>
    <w:rsid w:val="1F030830"/>
    <w:rsid w:val="1FC82D00"/>
    <w:rsid w:val="205C2E59"/>
    <w:rsid w:val="208E7E3E"/>
    <w:rsid w:val="20F009A9"/>
    <w:rsid w:val="22324AD8"/>
    <w:rsid w:val="25841EEB"/>
    <w:rsid w:val="258764BB"/>
    <w:rsid w:val="26A84706"/>
    <w:rsid w:val="27982B86"/>
    <w:rsid w:val="27BC6CB0"/>
    <w:rsid w:val="294B04A3"/>
    <w:rsid w:val="29AB0258"/>
    <w:rsid w:val="2D8258CC"/>
    <w:rsid w:val="2DA62211"/>
    <w:rsid w:val="2FAA2DCB"/>
    <w:rsid w:val="30045893"/>
    <w:rsid w:val="31437A7B"/>
    <w:rsid w:val="328D4BA5"/>
    <w:rsid w:val="328E3BA4"/>
    <w:rsid w:val="32BA2AFE"/>
    <w:rsid w:val="37D31AC1"/>
    <w:rsid w:val="3C803541"/>
    <w:rsid w:val="3D0A36C2"/>
    <w:rsid w:val="3D7417B1"/>
    <w:rsid w:val="3DB71608"/>
    <w:rsid w:val="3E265762"/>
    <w:rsid w:val="3F6A0468"/>
    <w:rsid w:val="41714B7A"/>
    <w:rsid w:val="41DD6C00"/>
    <w:rsid w:val="42692F40"/>
    <w:rsid w:val="42A93A49"/>
    <w:rsid w:val="454861DE"/>
    <w:rsid w:val="459238F4"/>
    <w:rsid w:val="463C72FA"/>
    <w:rsid w:val="474D354F"/>
    <w:rsid w:val="475E3CA9"/>
    <w:rsid w:val="48895CC3"/>
    <w:rsid w:val="48B21420"/>
    <w:rsid w:val="493F2E84"/>
    <w:rsid w:val="4A616D51"/>
    <w:rsid w:val="4A6A42D0"/>
    <w:rsid w:val="4B964F43"/>
    <w:rsid w:val="4C153E46"/>
    <w:rsid w:val="4C2804C2"/>
    <w:rsid w:val="4E8E3718"/>
    <w:rsid w:val="4EB06605"/>
    <w:rsid w:val="4F525CAA"/>
    <w:rsid w:val="4F8F2C7A"/>
    <w:rsid w:val="4F9F2F2A"/>
    <w:rsid w:val="50753E6C"/>
    <w:rsid w:val="50AF3123"/>
    <w:rsid w:val="50FB68B5"/>
    <w:rsid w:val="519326B4"/>
    <w:rsid w:val="52977BE7"/>
    <w:rsid w:val="52E622E0"/>
    <w:rsid w:val="559A6761"/>
    <w:rsid w:val="562E64A5"/>
    <w:rsid w:val="56A26288"/>
    <w:rsid w:val="58D20FF3"/>
    <w:rsid w:val="5AF42F75"/>
    <w:rsid w:val="5BD84D5F"/>
    <w:rsid w:val="5D085CED"/>
    <w:rsid w:val="5E1E5F97"/>
    <w:rsid w:val="5F332742"/>
    <w:rsid w:val="60D65CCE"/>
    <w:rsid w:val="61F135D8"/>
    <w:rsid w:val="645C7848"/>
    <w:rsid w:val="65BC778B"/>
    <w:rsid w:val="65E8701E"/>
    <w:rsid w:val="660E1F99"/>
    <w:rsid w:val="66AF0A1A"/>
    <w:rsid w:val="66ED6DEF"/>
    <w:rsid w:val="68F851F6"/>
    <w:rsid w:val="697971F5"/>
    <w:rsid w:val="6BA04189"/>
    <w:rsid w:val="6E413CF3"/>
    <w:rsid w:val="6FB416C4"/>
    <w:rsid w:val="70AC3130"/>
    <w:rsid w:val="70D34FD1"/>
    <w:rsid w:val="726874B0"/>
    <w:rsid w:val="75F67E92"/>
    <w:rsid w:val="76770878"/>
    <w:rsid w:val="774B579A"/>
    <w:rsid w:val="77752BC2"/>
    <w:rsid w:val="77C8500B"/>
    <w:rsid w:val="79872290"/>
    <w:rsid w:val="7A1E51C3"/>
    <w:rsid w:val="7A3F7EAB"/>
    <w:rsid w:val="7AC479C4"/>
    <w:rsid w:val="7C0843F3"/>
    <w:rsid w:val="7C4C111A"/>
    <w:rsid w:val="7C8C72FF"/>
    <w:rsid w:val="7E5F27C3"/>
    <w:rsid w:val="7EAC7625"/>
    <w:rsid w:val="7F033C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0" w:beforeAutospacing="1" w:after="0" w:afterAutospacing="1"/>
      <w:ind w:left="0" w:right="0" w:firstLine="441"/>
      <w:jc w:val="left"/>
    </w:pPr>
    <w:rPr>
      <w:kern w:val="0"/>
      <w:sz w:val="24"/>
      <w:lang w:val="en-US" w:eastAsia="zh-CN" w:bidi="ar"/>
    </w:rPr>
  </w:style>
  <w:style w:type="paragraph" w:styleId="12">
    <w:name w:val="Body Text First Indent 2"/>
    <w:basedOn w:val="6"/>
    <w:qFormat/>
    <w:uiPriority w:val="99"/>
    <w:pPr>
      <w:widowControl/>
      <w:spacing w:after="0" w:line="500" w:lineRule="exact"/>
      <w:ind w:left="0" w:leftChars="0" w:firstLine="420" w:firstLineChars="200"/>
      <w:jc w:val="left"/>
    </w:pPr>
    <w:rPr>
      <w:rFonts w:ascii="仿宋_GB2312" w:eastAsia="仿宋_GB2312" w:cs="仿宋_GB2312"/>
      <w:kern w:val="0"/>
      <w:sz w:val="28"/>
      <w:szCs w:val="28"/>
    </w:rPr>
  </w:style>
  <w:style w:type="character" w:styleId="15">
    <w:name w:val="Strong"/>
    <w:basedOn w:val="14"/>
    <w:qFormat/>
    <w:uiPriority w:val="0"/>
    <w:rPr>
      <w:b/>
      <w:color w:val="000000"/>
    </w:rPr>
  </w:style>
  <w:style w:type="character" w:styleId="16">
    <w:name w:val="page number"/>
    <w:basedOn w:val="14"/>
    <w:qFormat/>
    <w:uiPriority w:val="0"/>
  </w:style>
  <w:style w:type="character" w:styleId="17">
    <w:name w:val="FollowedHyperlink"/>
    <w:basedOn w:val="14"/>
    <w:qFormat/>
    <w:uiPriority w:val="0"/>
    <w:rPr>
      <w:color w:val="428BCA"/>
      <w:u w:val="none"/>
    </w:rPr>
  </w:style>
  <w:style w:type="character" w:styleId="18">
    <w:name w:val="Emphasis"/>
    <w:basedOn w:val="14"/>
    <w:qFormat/>
    <w:uiPriority w:val="0"/>
  </w:style>
  <w:style w:type="character" w:styleId="19">
    <w:name w:val="HTML Definition"/>
    <w:basedOn w:val="14"/>
    <w:qFormat/>
    <w:uiPriority w:val="0"/>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qFormat/>
    <w:uiPriority w:val="0"/>
    <w:rPr>
      <w:color w:val="0000FF"/>
      <w:u w:val="single"/>
    </w:rPr>
  </w:style>
  <w:style w:type="character" w:styleId="23">
    <w:name w:val="HTML Code"/>
    <w:basedOn w:val="14"/>
    <w:qFormat/>
    <w:uiPriority w:val="0"/>
    <w:rPr>
      <w:rFonts w:ascii="Consolas" w:hAnsi="Consolas" w:eastAsia="Consolas" w:cs="Consolas"/>
      <w:color w:val="C7254E"/>
      <w:sz w:val="21"/>
      <w:szCs w:val="21"/>
      <w:shd w:val="clear" w:fill="F9F2F4"/>
    </w:rPr>
  </w:style>
  <w:style w:type="character" w:styleId="24">
    <w:name w:val="HTML Cite"/>
    <w:basedOn w:val="14"/>
    <w:qFormat/>
    <w:uiPriority w:val="0"/>
  </w:style>
  <w:style w:type="character" w:styleId="25">
    <w:name w:val="HTML Keyboard"/>
    <w:basedOn w:val="14"/>
    <w:qFormat/>
    <w:uiPriority w:val="0"/>
    <w:rPr>
      <w:rFonts w:hint="default" w:ascii="Consolas" w:hAnsi="Consolas" w:eastAsia="Consolas" w:cs="Consolas"/>
      <w:color w:val="FFFFFF"/>
      <w:sz w:val="21"/>
      <w:szCs w:val="21"/>
      <w:shd w:val="clear" w:fill="333333"/>
    </w:rPr>
  </w:style>
  <w:style w:type="character" w:styleId="26">
    <w:name w:val="HTML Sample"/>
    <w:basedOn w:val="14"/>
    <w:qFormat/>
    <w:uiPriority w:val="0"/>
    <w:rPr>
      <w:rFonts w:hint="default" w:ascii="Consolas" w:hAnsi="Consolas" w:eastAsia="Consolas" w:cs="Consolas"/>
      <w:sz w:val="21"/>
      <w:szCs w:val="21"/>
    </w:rPr>
  </w:style>
  <w:style w:type="paragraph" w:customStyle="1" w:styleId="27">
    <w:name w:val="sou"/>
    <w:basedOn w:val="1"/>
    <w:qFormat/>
    <w:uiPriority w:val="0"/>
    <w:pPr>
      <w:spacing w:before="150" w:beforeAutospacing="0" w:after="0" w:afterAutospacing="0"/>
      <w:ind w:left="0" w:right="0"/>
      <w:jc w:val="left"/>
    </w:pPr>
    <w:rPr>
      <w:kern w:val="0"/>
      <w:lang w:val="en-US" w:eastAsia="zh-CN" w:bidi="ar"/>
    </w:rPr>
  </w:style>
  <w:style w:type="paragraph" w:customStyle="1" w:styleId="28">
    <w:name w:val="sou11"/>
    <w:basedOn w:val="1"/>
    <w:qFormat/>
    <w:uiPriority w:val="0"/>
    <w:pPr>
      <w:spacing w:before="300" w:beforeAutospacing="0" w:after="0" w:afterAutospacing="0"/>
      <w:ind w:left="0" w:right="0"/>
      <w:jc w:val="center"/>
    </w:pPr>
    <w:rPr>
      <w:kern w:val="0"/>
      <w:lang w:val="en-US" w:eastAsia="zh-CN" w:bidi="ar"/>
    </w:rPr>
  </w:style>
  <w:style w:type="character" w:customStyle="1" w:styleId="29">
    <w:name w:val="one"/>
    <w:basedOn w:val="14"/>
    <w:qFormat/>
    <w:uiPriority w:val="0"/>
    <w:rPr>
      <w:color w:val="003366"/>
    </w:rPr>
  </w:style>
  <w:style w:type="character" w:customStyle="1" w:styleId="30">
    <w:name w:val="icon_video"/>
    <w:basedOn w:val="14"/>
    <w:qFormat/>
    <w:uiPriority w:val="0"/>
  </w:style>
  <w:style w:type="character" w:customStyle="1" w:styleId="31">
    <w:name w:val="first-child1"/>
    <w:basedOn w:val="14"/>
    <w:qFormat/>
    <w:uiPriority w:val="0"/>
  </w:style>
  <w:style w:type="character" w:customStyle="1" w:styleId="32">
    <w:name w:val="loginout"/>
    <w:basedOn w:val="14"/>
    <w:qFormat/>
    <w:uiPriority w:val="0"/>
    <w:rPr>
      <w:color w:val="FFFFFF"/>
      <w:vertAlign w:val="baseline"/>
    </w:rPr>
  </w:style>
  <w:style w:type="character" w:customStyle="1" w:styleId="33">
    <w:name w:val="bsharetext"/>
    <w:basedOn w:val="14"/>
    <w:qFormat/>
    <w:uiPriority w:val="0"/>
  </w:style>
  <w:style w:type="character" w:customStyle="1" w:styleId="34">
    <w:name w:val="news_title"/>
    <w:basedOn w:val="14"/>
    <w:qFormat/>
    <w:uiPriority w:val="0"/>
  </w:style>
  <w:style w:type="character" w:customStyle="1" w:styleId="35">
    <w:name w:val="news_title1"/>
    <w:basedOn w:val="14"/>
    <w:uiPriority w:val="0"/>
  </w:style>
  <w:style w:type="character" w:customStyle="1" w:styleId="36">
    <w:name w:val="news_title2"/>
    <w:basedOn w:val="14"/>
    <w:qFormat/>
    <w:uiPriority w:val="0"/>
  </w:style>
  <w:style w:type="character" w:customStyle="1" w:styleId="37">
    <w:name w:val="news_title3"/>
    <w:basedOn w:val="14"/>
    <w:qFormat/>
    <w:uiPriority w:val="0"/>
  </w:style>
  <w:style w:type="character" w:customStyle="1" w:styleId="38">
    <w:name w:val="news_title4"/>
    <w:basedOn w:val="14"/>
    <w:qFormat/>
    <w:uiPriority w:val="0"/>
  </w:style>
  <w:style w:type="character" w:customStyle="1" w:styleId="39">
    <w:name w:val="news_title5"/>
    <w:basedOn w:val="14"/>
    <w:qFormat/>
    <w:uiPriority w:val="0"/>
  </w:style>
  <w:style w:type="character" w:customStyle="1" w:styleId="40">
    <w:name w:val="news_title6"/>
    <w:basedOn w:val="14"/>
    <w:qFormat/>
    <w:uiPriority w:val="0"/>
  </w:style>
  <w:style w:type="character" w:customStyle="1" w:styleId="41">
    <w:name w:val="column-name"/>
    <w:basedOn w:val="14"/>
    <w:qFormat/>
    <w:uiPriority w:val="0"/>
    <w:rPr>
      <w:color w:val="5079B7"/>
    </w:rPr>
  </w:style>
  <w:style w:type="character" w:customStyle="1" w:styleId="42">
    <w:name w:val="news_meta"/>
    <w:basedOn w:val="14"/>
    <w:qFormat/>
    <w:uiPriority w:val="0"/>
    <w:rPr>
      <w:color w:val="AAAAAA"/>
    </w:rPr>
  </w:style>
  <w:style w:type="character" w:customStyle="1" w:styleId="43">
    <w:name w:val="news_meta1"/>
    <w:basedOn w:val="14"/>
    <w:uiPriority w:val="0"/>
    <w:rPr>
      <w:color w:val="AAAAAA"/>
    </w:rPr>
  </w:style>
  <w:style w:type="character" w:customStyle="1" w:styleId="44">
    <w:name w:val="news_meta2"/>
    <w:basedOn w:val="14"/>
    <w:qFormat/>
    <w:uiPriority w:val="0"/>
    <w:rPr>
      <w:color w:val="AAAAAA"/>
    </w:rPr>
  </w:style>
  <w:style w:type="character" w:customStyle="1" w:styleId="45">
    <w:name w:val="news_meta3"/>
    <w:basedOn w:val="14"/>
    <w:qFormat/>
    <w:uiPriority w:val="0"/>
    <w:rPr>
      <w:color w:val="122E67"/>
    </w:rPr>
  </w:style>
  <w:style w:type="character" w:customStyle="1" w:styleId="46">
    <w:name w:val="news_meta4"/>
    <w:basedOn w:val="14"/>
    <w:qFormat/>
    <w:uiPriority w:val="0"/>
  </w:style>
  <w:style w:type="character" w:customStyle="1" w:styleId="47">
    <w:name w:val="item-name"/>
    <w:basedOn w:val="14"/>
    <w:qFormat/>
    <w:uiPriority w:val="0"/>
  </w:style>
  <w:style w:type="character" w:customStyle="1" w:styleId="48">
    <w:name w:val="item-name1"/>
    <w:basedOn w:val="14"/>
    <w:qFormat/>
    <w:uiPriority w:val="0"/>
  </w:style>
  <w:style w:type="character" w:customStyle="1" w:styleId="49">
    <w:name w:val="item-name2"/>
    <w:basedOn w:val="14"/>
    <w:qFormat/>
    <w:uiPriority w:val="0"/>
  </w:style>
  <w:style w:type="character" w:customStyle="1" w:styleId="50">
    <w:name w:val="item-name3"/>
    <w:basedOn w:val="14"/>
    <w:qFormat/>
    <w:uiPriority w:val="0"/>
  </w:style>
  <w:style w:type="character" w:customStyle="1" w:styleId="51">
    <w:name w:val="item-name4"/>
    <w:basedOn w:val="14"/>
    <w:qFormat/>
    <w:uiPriority w:val="0"/>
  </w:style>
  <w:style w:type="character" w:customStyle="1" w:styleId="52">
    <w:name w:val="item-name5"/>
    <w:basedOn w:val="14"/>
    <w:qFormat/>
    <w:uiPriority w:val="0"/>
  </w:style>
  <w:style w:type="character" w:customStyle="1" w:styleId="53">
    <w:name w:val="xubox_tabnow"/>
    <w:basedOn w:val="14"/>
    <w:qFormat/>
    <w:uiPriority w:val="0"/>
    <w:rPr>
      <w:bdr w:val="single" w:color="CCCCCC" w:sz="6" w:space="0"/>
      <w:shd w:val="clear" w:fill="FFFFFF"/>
    </w:rPr>
  </w:style>
  <w:style w:type="character" w:customStyle="1" w:styleId="54">
    <w:name w:val="pubdate-month"/>
    <w:basedOn w:val="14"/>
    <w:qFormat/>
    <w:uiPriority w:val="0"/>
    <w:rPr>
      <w:color w:val="FFFFFF"/>
      <w:sz w:val="24"/>
      <w:szCs w:val="24"/>
      <w:shd w:val="clear" w:fill="CC0000"/>
    </w:rPr>
  </w:style>
  <w:style w:type="character" w:customStyle="1" w:styleId="55">
    <w:name w:val="pubdate-day"/>
    <w:basedOn w:val="14"/>
    <w:qFormat/>
    <w:uiPriority w:val="0"/>
    <w:rPr>
      <w:shd w:val="clear" w:fill="F2F2F2"/>
    </w:rPr>
  </w:style>
  <w:style w:type="character" w:customStyle="1" w:styleId="56">
    <w:name w:val="column-name18"/>
    <w:basedOn w:val="14"/>
    <w:qFormat/>
    <w:uiPriority w:val="0"/>
    <w:rPr>
      <w:color w:val="5079B7"/>
    </w:rPr>
  </w:style>
  <w:style w:type="character" w:customStyle="1" w:styleId="57">
    <w:name w:val="news_title18"/>
    <w:basedOn w:val="14"/>
    <w:qFormat/>
    <w:uiPriority w:val="0"/>
  </w:style>
  <w:style w:type="character" w:customStyle="1" w:styleId="58">
    <w:name w:val="news_title19"/>
    <w:basedOn w:val="14"/>
    <w:qFormat/>
    <w:uiPriority w:val="0"/>
  </w:style>
  <w:style w:type="character" w:customStyle="1" w:styleId="59">
    <w:name w:val="news_title20"/>
    <w:basedOn w:val="14"/>
    <w:qFormat/>
    <w:uiPriority w:val="0"/>
    <w:rPr>
      <w:color w:val="AAAAAA"/>
    </w:rPr>
  </w:style>
  <w:style w:type="character" w:customStyle="1" w:styleId="60">
    <w:name w:val="news_title21"/>
    <w:basedOn w:val="14"/>
    <w:qFormat/>
    <w:uiPriority w:val="0"/>
  </w:style>
  <w:style w:type="character" w:customStyle="1" w:styleId="61">
    <w:name w:val="news_title22"/>
    <w:basedOn w:val="14"/>
    <w:qFormat/>
    <w:uiPriority w:val="0"/>
  </w:style>
  <w:style w:type="character" w:customStyle="1" w:styleId="62">
    <w:name w:val="news_title23"/>
    <w:basedOn w:val="14"/>
    <w:qFormat/>
    <w:uiPriority w:val="0"/>
    <w:rPr>
      <w:color w:val="122E67"/>
    </w:rPr>
  </w:style>
  <w:style w:type="character" w:customStyle="1" w:styleId="63">
    <w:name w:val="news_title24"/>
    <w:basedOn w:val="1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12438</Words>
  <Characters>12551</Characters>
  <Lines>0</Lines>
  <Paragraphs>0</Paragraphs>
  <TotalTime>6</TotalTime>
  <ScaleCrop>false</ScaleCrop>
  <LinksUpToDate>false</LinksUpToDate>
  <CharactersWithSpaces>12958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2018-10-24T08:48:00Z</dcterms:created>
  <dc:creator>zzk</dc:creator>
  <cp:lastModifiedBy>Administrator</cp:lastModifiedBy>
  <cp:lastPrinted>2019-12-23T07:25:01Z</cp:lastPrinted>
  <dcterms:modified xsi:type="dcterms:W3CDTF">2019-12-23T07:25:14Z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